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756AA" w14:textId="0B97DC61" w:rsidR="00B2054A" w:rsidRDefault="00E33107" w:rsidP="00CF7CE1">
      <w:pPr>
        <w:widowControl w:val="0"/>
        <w:autoSpaceDE w:val="0"/>
        <w:autoSpaceDN w:val="0"/>
        <w:adjustRightInd w:val="0"/>
        <w:spacing w:after="0" w:line="240" w:lineRule="auto"/>
        <w:ind w:left="720" w:right="720"/>
        <w:jc w:val="both"/>
        <w:rPr>
          <w:rFonts w:ascii="Times New Roman" w:hAnsi="Times New Roman"/>
          <w:b/>
          <w:iCs/>
          <w:sz w:val="24"/>
          <w:szCs w:val="20"/>
        </w:rPr>
      </w:pPr>
      <w:r>
        <w:rPr>
          <w:rFonts w:ascii="Times New Roman" w:hAnsi="Times New Roman"/>
          <w:b/>
          <w:sz w:val="24"/>
          <w:szCs w:val="20"/>
        </w:rPr>
        <w:t>“</w:t>
      </w:r>
      <w:r w:rsidR="00B2054A" w:rsidRPr="00B2054A">
        <w:rPr>
          <w:rFonts w:ascii="Times New Roman" w:hAnsi="Times New Roman"/>
          <w:b/>
          <w:sz w:val="24"/>
          <w:szCs w:val="20"/>
        </w:rPr>
        <w:t xml:space="preserve">Petitioner’s final argument is that </w:t>
      </w:r>
      <w:r>
        <w:rPr>
          <w:rFonts w:ascii="Times New Roman" w:hAnsi="Times New Roman"/>
          <w:b/>
          <w:sz w:val="24"/>
          <w:szCs w:val="20"/>
        </w:rPr>
        <w:t>‘</w:t>
      </w:r>
      <w:r w:rsidR="00B2054A" w:rsidRPr="00B2054A">
        <w:rPr>
          <w:rFonts w:ascii="Times New Roman" w:hAnsi="Times New Roman"/>
          <w:b/>
          <w:sz w:val="24"/>
          <w:szCs w:val="20"/>
        </w:rPr>
        <w:t>there are numerous other available race-neutral means of achieving</w:t>
      </w:r>
      <w:r>
        <w:rPr>
          <w:rFonts w:ascii="Times New Roman" w:hAnsi="Times New Roman"/>
          <w:b/>
          <w:sz w:val="24"/>
          <w:szCs w:val="20"/>
        </w:rPr>
        <w:t>’</w:t>
      </w:r>
      <w:r w:rsidR="00B2054A" w:rsidRPr="00B2054A">
        <w:rPr>
          <w:rFonts w:ascii="Times New Roman" w:hAnsi="Times New Roman"/>
          <w:b/>
          <w:sz w:val="24"/>
          <w:szCs w:val="20"/>
        </w:rPr>
        <w:t xml:space="preserve"> the University’s compelling interest. . . . [P]</w:t>
      </w:r>
      <w:proofErr w:type="spellStart"/>
      <w:r w:rsidR="00B2054A" w:rsidRPr="00B2054A">
        <w:rPr>
          <w:rFonts w:ascii="Times New Roman" w:hAnsi="Times New Roman"/>
          <w:b/>
          <w:sz w:val="24"/>
          <w:szCs w:val="20"/>
        </w:rPr>
        <w:t>etitioner</w:t>
      </w:r>
      <w:proofErr w:type="spellEnd"/>
      <w:r w:rsidR="00B2054A" w:rsidRPr="00B2054A">
        <w:rPr>
          <w:rFonts w:ascii="Times New Roman" w:hAnsi="Times New Roman"/>
          <w:b/>
          <w:sz w:val="24"/>
          <w:szCs w:val="20"/>
        </w:rPr>
        <w:t xml:space="preserve"> overlooks the fact that the Top Ten Percent Plan, though facially neutral, cannot be understood apart from its basic purpose, which is to boost minority enrollment. . . . Percentage plans are </w:t>
      </w:r>
      <w:r>
        <w:rPr>
          <w:rFonts w:ascii="Times New Roman" w:hAnsi="Times New Roman"/>
          <w:b/>
          <w:sz w:val="24"/>
          <w:szCs w:val="20"/>
        </w:rPr>
        <w:t>‘</w:t>
      </w:r>
      <w:r w:rsidR="00B2054A" w:rsidRPr="00B2054A">
        <w:rPr>
          <w:rFonts w:ascii="Times New Roman" w:hAnsi="Times New Roman"/>
          <w:b/>
          <w:sz w:val="24"/>
          <w:szCs w:val="20"/>
        </w:rPr>
        <w:t>adopted with racially segregated neighborhoods and schools front and center stage.</w:t>
      </w:r>
      <w:r>
        <w:rPr>
          <w:rFonts w:ascii="Times New Roman" w:hAnsi="Times New Roman"/>
          <w:b/>
          <w:sz w:val="24"/>
          <w:szCs w:val="20"/>
        </w:rPr>
        <w:t>’</w:t>
      </w:r>
      <w:r w:rsidR="00B2054A" w:rsidRPr="00B2054A">
        <w:rPr>
          <w:rFonts w:ascii="Times New Roman" w:hAnsi="Times New Roman"/>
          <w:b/>
          <w:sz w:val="24"/>
          <w:szCs w:val="20"/>
        </w:rPr>
        <w:t xml:space="preserve"> </w:t>
      </w:r>
      <w:r w:rsidR="00B2054A" w:rsidRPr="00B2054A">
        <w:rPr>
          <w:rFonts w:ascii="Times New Roman" w:hAnsi="Times New Roman"/>
          <w:b/>
          <w:i/>
          <w:iCs/>
          <w:sz w:val="24"/>
          <w:szCs w:val="20"/>
        </w:rPr>
        <w:t>Fisher I</w:t>
      </w:r>
      <w:r w:rsidR="00B2054A" w:rsidRPr="00B2054A">
        <w:rPr>
          <w:rFonts w:ascii="Times New Roman" w:hAnsi="Times New Roman"/>
          <w:b/>
          <w:sz w:val="24"/>
          <w:szCs w:val="20"/>
        </w:rPr>
        <w:t xml:space="preserve"> (Ginsburg, J., dissenting). </w:t>
      </w:r>
      <w:r>
        <w:rPr>
          <w:rFonts w:ascii="Times New Roman" w:hAnsi="Times New Roman"/>
          <w:b/>
          <w:sz w:val="24"/>
          <w:szCs w:val="20"/>
        </w:rPr>
        <w:t>‘</w:t>
      </w:r>
      <w:r w:rsidR="00B2054A" w:rsidRPr="00B2054A">
        <w:rPr>
          <w:rFonts w:ascii="Times New Roman" w:hAnsi="Times New Roman"/>
          <w:b/>
          <w:sz w:val="24"/>
          <w:szCs w:val="20"/>
        </w:rPr>
        <w:t xml:space="preserve">It is race consciousness, not blindness to </w:t>
      </w:r>
      <w:proofErr w:type="gramStart"/>
      <w:r w:rsidR="00B2054A" w:rsidRPr="00B2054A">
        <w:rPr>
          <w:rFonts w:ascii="Times New Roman" w:hAnsi="Times New Roman"/>
          <w:b/>
          <w:sz w:val="24"/>
          <w:szCs w:val="20"/>
        </w:rPr>
        <w:t>race, that</w:t>
      </w:r>
      <w:proofErr w:type="gramEnd"/>
      <w:r w:rsidR="00B2054A" w:rsidRPr="00B2054A">
        <w:rPr>
          <w:rFonts w:ascii="Times New Roman" w:hAnsi="Times New Roman"/>
          <w:b/>
          <w:sz w:val="24"/>
          <w:szCs w:val="20"/>
        </w:rPr>
        <w:t xml:space="preserve"> drives such plans.</w:t>
      </w:r>
      <w:r>
        <w:rPr>
          <w:rFonts w:ascii="Times New Roman" w:hAnsi="Times New Roman"/>
          <w:b/>
          <w:sz w:val="24"/>
          <w:szCs w:val="20"/>
        </w:rPr>
        <w:t>’</w:t>
      </w:r>
      <w:r w:rsidR="00B2054A" w:rsidRPr="00B2054A">
        <w:rPr>
          <w:rFonts w:ascii="Times New Roman" w:hAnsi="Times New Roman"/>
          <w:b/>
          <w:sz w:val="24"/>
          <w:szCs w:val="20"/>
        </w:rPr>
        <w:t xml:space="preserve"> </w:t>
      </w:r>
      <w:proofErr w:type="spellStart"/>
      <w:r w:rsidR="00B2054A" w:rsidRPr="00B2054A">
        <w:rPr>
          <w:rFonts w:ascii="Times New Roman" w:hAnsi="Times New Roman"/>
          <w:b/>
          <w:i/>
          <w:iCs/>
          <w:sz w:val="24"/>
          <w:szCs w:val="20"/>
        </w:rPr>
        <w:t>Ibid.</w:t>
      </w:r>
      <w:r w:rsidRPr="00E33107">
        <w:rPr>
          <w:rFonts w:ascii="Times New Roman" w:hAnsi="Times New Roman"/>
          <w:b/>
          <w:iCs/>
          <w:sz w:val="24"/>
          <w:szCs w:val="20"/>
        </w:rPr>
        <w:t>”</w:t>
      </w:r>
      <w:r w:rsidR="00B2054A" w:rsidRPr="00B2054A">
        <w:rPr>
          <w:rFonts w:ascii="Times New Roman" w:hAnsi="Times New Roman"/>
          <w:b/>
          <w:iCs/>
          <w:sz w:val="24"/>
          <w:szCs w:val="20"/>
        </w:rPr>
        <w:t>⸺Justice</w:t>
      </w:r>
      <w:proofErr w:type="spellEnd"/>
      <w:r w:rsidR="00B2054A" w:rsidRPr="00B2054A">
        <w:rPr>
          <w:rFonts w:ascii="Times New Roman" w:hAnsi="Times New Roman"/>
          <w:b/>
          <w:iCs/>
          <w:sz w:val="24"/>
          <w:szCs w:val="20"/>
        </w:rPr>
        <w:t xml:space="preserve"> K</w:t>
      </w:r>
      <w:r>
        <w:rPr>
          <w:rFonts w:ascii="Times New Roman" w:hAnsi="Times New Roman"/>
          <w:b/>
          <w:iCs/>
          <w:sz w:val="24"/>
          <w:szCs w:val="20"/>
        </w:rPr>
        <w:t>ENNEDY</w:t>
      </w:r>
    </w:p>
    <w:p w14:paraId="12E1C584" w14:textId="7A6302B0" w:rsidR="00B2054A" w:rsidRDefault="00B2054A" w:rsidP="00CF7CE1">
      <w:pPr>
        <w:widowControl w:val="0"/>
        <w:autoSpaceDE w:val="0"/>
        <w:autoSpaceDN w:val="0"/>
        <w:adjustRightInd w:val="0"/>
        <w:spacing w:after="0" w:line="240" w:lineRule="auto"/>
        <w:ind w:left="720" w:right="720"/>
        <w:jc w:val="both"/>
        <w:rPr>
          <w:rFonts w:ascii="Times New Roman" w:hAnsi="Times New Roman"/>
          <w:b/>
          <w:iCs/>
          <w:sz w:val="24"/>
          <w:szCs w:val="20"/>
        </w:rPr>
      </w:pPr>
    </w:p>
    <w:p w14:paraId="3D56C4BE" w14:textId="2911CFB2" w:rsidR="00B2054A" w:rsidRDefault="00E33107" w:rsidP="00C53960">
      <w:pPr>
        <w:widowControl w:val="0"/>
        <w:autoSpaceDE w:val="0"/>
        <w:autoSpaceDN w:val="0"/>
        <w:adjustRightInd w:val="0"/>
        <w:spacing w:after="0" w:line="240" w:lineRule="auto"/>
        <w:ind w:left="720" w:right="720"/>
        <w:jc w:val="both"/>
        <w:rPr>
          <w:rFonts w:ascii="Times New Roman" w:hAnsi="Times New Roman"/>
          <w:b/>
          <w:sz w:val="24"/>
          <w:szCs w:val="24"/>
        </w:rPr>
      </w:pPr>
      <w:r>
        <w:rPr>
          <w:rFonts w:ascii="Times New Roman" w:hAnsi="Times New Roman"/>
          <w:b/>
          <w:sz w:val="24"/>
          <w:szCs w:val="20"/>
        </w:rPr>
        <w:t>“</w:t>
      </w:r>
      <w:r w:rsidR="00B2054A" w:rsidRPr="00B2054A">
        <w:rPr>
          <w:rFonts w:ascii="Times New Roman" w:hAnsi="Times New Roman"/>
          <w:b/>
          <w:sz w:val="24"/>
          <w:szCs w:val="20"/>
        </w:rPr>
        <w:t xml:space="preserve">It is important to understand what is and what is not at stake in this case. </w:t>
      </w:r>
      <w:r w:rsidR="00B2054A" w:rsidRPr="00B2054A">
        <w:rPr>
          <w:rFonts w:ascii="Times New Roman" w:hAnsi="Times New Roman"/>
          <w:b/>
          <w:i/>
          <w:iCs/>
          <w:sz w:val="24"/>
          <w:szCs w:val="20"/>
        </w:rPr>
        <w:t>What is not at stake</w:t>
      </w:r>
      <w:r w:rsidR="00B2054A" w:rsidRPr="00B2054A">
        <w:rPr>
          <w:rFonts w:ascii="Times New Roman" w:hAnsi="Times New Roman"/>
          <w:b/>
          <w:sz w:val="24"/>
          <w:szCs w:val="20"/>
        </w:rPr>
        <w:t xml:space="preserve"> is whether UT or any other university may adopt an admissions plan that results in a student body with a broad representation of students from all racial and ethnic groups. . . . </w:t>
      </w:r>
      <w:r w:rsidR="00B2054A" w:rsidRPr="00B2054A">
        <w:rPr>
          <w:rFonts w:ascii="Times New Roman" w:hAnsi="Times New Roman"/>
          <w:b/>
          <w:i/>
          <w:iCs/>
          <w:sz w:val="24"/>
          <w:szCs w:val="20"/>
        </w:rPr>
        <w:t>What is at stake</w:t>
      </w:r>
      <w:r w:rsidR="00B2054A" w:rsidRPr="00B2054A">
        <w:rPr>
          <w:rFonts w:ascii="Times New Roman" w:hAnsi="Times New Roman"/>
          <w:b/>
          <w:sz w:val="24"/>
          <w:szCs w:val="20"/>
        </w:rPr>
        <w:t xml:space="preserve"> is whether university administrators may justify systematic racial discrimination simply by asserting that such discrimination is necessary to achieve “the educational benefits of diversity,” without explaining—much less proving—why the discrimination is needed or how the discriminatory plan is well crafted to serve its </w:t>
      </w:r>
      <w:proofErr w:type="spellStart"/>
      <w:r w:rsidR="00B2054A" w:rsidRPr="00B2054A">
        <w:rPr>
          <w:rFonts w:ascii="Times New Roman" w:hAnsi="Times New Roman"/>
          <w:b/>
          <w:sz w:val="24"/>
          <w:szCs w:val="20"/>
        </w:rPr>
        <w:t>objectives.</w:t>
      </w:r>
      <w:r>
        <w:rPr>
          <w:rFonts w:ascii="Times New Roman" w:hAnsi="Times New Roman"/>
          <w:b/>
          <w:sz w:val="24"/>
          <w:szCs w:val="20"/>
        </w:rPr>
        <w:t>”</w:t>
      </w:r>
      <w:r w:rsidR="00B2054A" w:rsidRPr="00B2054A">
        <w:rPr>
          <w:rFonts w:ascii="Times New Roman" w:hAnsi="Times New Roman"/>
          <w:b/>
          <w:sz w:val="24"/>
          <w:szCs w:val="20"/>
        </w:rPr>
        <w:t>⸺Justice</w:t>
      </w:r>
      <w:proofErr w:type="spellEnd"/>
      <w:r w:rsidR="00B2054A" w:rsidRPr="00B2054A">
        <w:rPr>
          <w:rFonts w:ascii="Times New Roman" w:hAnsi="Times New Roman"/>
          <w:b/>
          <w:sz w:val="24"/>
          <w:szCs w:val="20"/>
        </w:rPr>
        <w:t xml:space="preserve"> </w:t>
      </w:r>
      <w:r>
        <w:rPr>
          <w:rFonts w:ascii="Times New Roman" w:hAnsi="Times New Roman"/>
          <w:b/>
          <w:sz w:val="24"/>
          <w:szCs w:val="20"/>
        </w:rPr>
        <w:t>ALITO</w:t>
      </w:r>
      <w:r w:rsidR="00B2054A" w:rsidRPr="00B2054A">
        <w:rPr>
          <w:rFonts w:ascii="Times New Roman" w:hAnsi="Times New Roman"/>
          <w:b/>
          <w:sz w:val="24"/>
          <w:szCs w:val="20"/>
        </w:rPr>
        <w:t>, dissenting</w:t>
      </w:r>
    </w:p>
    <w:p w14:paraId="0F337DD5" w14:textId="77777777" w:rsidR="00B2054A" w:rsidRDefault="00B2054A" w:rsidP="00283055">
      <w:pPr>
        <w:widowControl w:val="0"/>
        <w:autoSpaceDE w:val="0"/>
        <w:autoSpaceDN w:val="0"/>
        <w:adjustRightInd w:val="0"/>
        <w:spacing w:after="0" w:line="240" w:lineRule="auto"/>
        <w:ind w:left="100" w:right="100"/>
        <w:jc w:val="center"/>
        <w:rPr>
          <w:rFonts w:ascii="Times New Roman" w:hAnsi="Times New Roman"/>
          <w:b/>
          <w:sz w:val="24"/>
          <w:szCs w:val="24"/>
        </w:rPr>
      </w:pPr>
    </w:p>
    <w:p w14:paraId="6AF3EA3F" w14:textId="44C686F0" w:rsidR="00DD0389" w:rsidRPr="00283055" w:rsidRDefault="00DD0389" w:rsidP="00283055">
      <w:pPr>
        <w:widowControl w:val="0"/>
        <w:autoSpaceDE w:val="0"/>
        <w:autoSpaceDN w:val="0"/>
        <w:adjustRightInd w:val="0"/>
        <w:spacing w:after="0" w:line="240" w:lineRule="auto"/>
        <w:ind w:left="100" w:right="100"/>
        <w:jc w:val="center"/>
        <w:rPr>
          <w:rFonts w:ascii="Times New Roman" w:hAnsi="Times New Roman"/>
          <w:b/>
          <w:sz w:val="24"/>
          <w:szCs w:val="24"/>
        </w:rPr>
      </w:pPr>
      <w:r w:rsidRPr="00283055">
        <w:rPr>
          <w:rFonts w:ascii="Times New Roman" w:hAnsi="Times New Roman"/>
          <w:b/>
          <w:sz w:val="24"/>
          <w:szCs w:val="24"/>
        </w:rPr>
        <w:t>F</w:t>
      </w:r>
      <w:r w:rsidR="00765240" w:rsidRPr="00283055">
        <w:rPr>
          <w:rFonts w:ascii="Times New Roman" w:hAnsi="Times New Roman"/>
          <w:b/>
          <w:sz w:val="24"/>
          <w:szCs w:val="24"/>
        </w:rPr>
        <w:t>isher v. University of Texas at Austin</w:t>
      </w:r>
    </w:p>
    <w:p w14:paraId="55340F7D" w14:textId="77777777" w:rsidR="00283055" w:rsidRPr="00283055" w:rsidRDefault="00283055" w:rsidP="00283055">
      <w:pPr>
        <w:widowControl w:val="0"/>
        <w:autoSpaceDE w:val="0"/>
        <w:autoSpaceDN w:val="0"/>
        <w:adjustRightInd w:val="0"/>
        <w:spacing w:after="0" w:line="240" w:lineRule="auto"/>
        <w:ind w:left="100" w:right="100"/>
        <w:jc w:val="center"/>
        <w:rPr>
          <w:rFonts w:ascii="Times New Roman" w:hAnsi="Times New Roman"/>
          <w:b/>
          <w:sz w:val="24"/>
          <w:szCs w:val="24"/>
        </w:rPr>
      </w:pPr>
    </w:p>
    <w:p w14:paraId="667C6414" w14:textId="14EEAAC6" w:rsidR="00765240" w:rsidRPr="00765240" w:rsidRDefault="00283055" w:rsidP="00283055">
      <w:pPr>
        <w:widowControl w:val="0"/>
        <w:autoSpaceDE w:val="0"/>
        <w:autoSpaceDN w:val="0"/>
        <w:adjustRightInd w:val="0"/>
        <w:spacing w:after="0" w:line="240" w:lineRule="auto"/>
        <w:jc w:val="center"/>
        <w:rPr>
          <w:rFonts w:ascii="Georgia" w:hAnsi="Georgia" w:cs="Georgia"/>
          <w:sz w:val="20"/>
          <w:szCs w:val="20"/>
        </w:rPr>
      </w:pPr>
      <w:r>
        <w:rPr>
          <w:rFonts w:ascii="Times New Roman" w:hAnsi="Times New Roman"/>
          <w:sz w:val="24"/>
          <w:szCs w:val="24"/>
        </w:rPr>
        <w:t>579</w:t>
      </w:r>
      <w:r w:rsidR="00765240" w:rsidRPr="00283055">
        <w:rPr>
          <w:rFonts w:ascii="Times New Roman" w:hAnsi="Times New Roman"/>
          <w:sz w:val="24"/>
          <w:szCs w:val="24"/>
        </w:rPr>
        <w:t xml:space="preserve"> U.S. ___, 136 </w:t>
      </w:r>
      <w:proofErr w:type="spellStart"/>
      <w:r w:rsidR="00765240" w:rsidRPr="00283055">
        <w:rPr>
          <w:rFonts w:ascii="Times New Roman" w:hAnsi="Times New Roman"/>
          <w:sz w:val="24"/>
          <w:szCs w:val="24"/>
        </w:rPr>
        <w:t>S.Ct</w:t>
      </w:r>
      <w:proofErr w:type="spellEnd"/>
      <w:r w:rsidR="00765240" w:rsidRPr="00283055">
        <w:rPr>
          <w:rFonts w:ascii="Times New Roman" w:hAnsi="Times New Roman"/>
          <w:sz w:val="24"/>
          <w:szCs w:val="24"/>
        </w:rPr>
        <w:t xml:space="preserve">. 2198, </w:t>
      </w:r>
      <w:r w:rsidR="00DF7E9A">
        <w:rPr>
          <w:rFonts w:ascii="Times New Roman" w:hAnsi="Times New Roman"/>
          <w:sz w:val="24"/>
          <w:szCs w:val="24"/>
        </w:rPr>
        <w:t>195</w:t>
      </w:r>
      <w:r w:rsidR="00765240" w:rsidRPr="00283055">
        <w:rPr>
          <w:rFonts w:ascii="Times New Roman" w:hAnsi="Times New Roman"/>
          <w:sz w:val="24"/>
          <w:szCs w:val="24"/>
        </w:rPr>
        <w:t xml:space="preserve"> L.Ed.2d </w:t>
      </w:r>
      <w:r w:rsidR="00DF7E9A">
        <w:rPr>
          <w:rFonts w:ascii="Times New Roman" w:hAnsi="Times New Roman"/>
          <w:sz w:val="24"/>
          <w:szCs w:val="24"/>
        </w:rPr>
        <w:t>511</w:t>
      </w:r>
      <w:r w:rsidR="00765240" w:rsidRPr="00283055">
        <w:rPr>
          <w:rFonts w:ascii="Times New Roman" w:hAnsi="Times New Roman"/>
          <w:sz w:val="24"/>
          <w:szCs w:val="24"/>
        </w:rPr>
        <w:t xml:space="preserve"> (20</w:t>
      </w:r>
      <w:r>
        <w:rPr>
          <w:rFonts w:ascii="Times New Roman" w:hAnsi="Times New Roman"/>
          <w:sz w:val="24"/>
          <w:szCs w:val="24"/>
        </w:rPr>
        <w:t>16</w:t>
      </w:r>
      <w:r w:rsidR="00765240" w:rsidRPr="00283055">
        <w:rPr>
          <w:rFonts w:ascii="Times New Roman" w:hAnsi="Times New Roman"/>
          <w:sz w:val="24"/>
          <w:szCs w:val="24"/>
        </w:rPr>
        <w:t>)</w:t>
      </w:r>
    </w:p>
    <w:p w14:paraId="2A6E6288" w14:textId="2A7998B1" w:rsidR="00DD0389" w:rsidRPr="008642E3" w:rsidRDefault="003F0609" w:rsidP="003F0609">
      <w:pPr>
        <w:widowControl w:val="0"/>
        <w:autoSpaceDE w:val="0"/>
        <w:autoSpaceDN w:val="0"/>
        <w:adjustRightInd w:val="0"/>
        <w:spacing w:before="200" w:after="200" w:line="240" w:lineRule="auto"/>
        <w:jc w:val="both"/>
        <w:rPr>
          <w:rFonts w:ascii="Times New Roman" w:hAnsi="Times New Roman"/>
          <w:sz w:val="24"/>
          <w:szCs w:val="20"/>
        </w:rPr>
      </w:pPr>
      <w:r>
        <w:rPr>
          <w:rFonts w:ascii="Times New Roman" w:hAnsi="Times New Roman"/>
          <w:smallCaps/>
          <w:sz w:val="24"/>
          <w:szCs w:val="20"/>
        </w:rPr>
        <w:t>■</w:t>
      </w:r>
      <w:r w:rsidR="00DD0389" w:rsidRPr="00283055">
        <w:rPr>
          <w:rFonts w:ascii="Times New Roman" w:hAnsi="Times New Roman"/>
          <w:smallCaps/>
          <w:sz w:val="24"/>
          <w:szCs w:val="20"/>
        </w:rPr>
        <w:t>Justice</w:t>
      </w:r>
      <w:r w:rsidR="00DD0389" w:rsidRPr="008642E3">
        <w:rPr>
          <w:rFonts w:ascii="Times New Roman" w:hAnsi="Times New Roman"/>
          <w:sz w:val="24"/>
          <w:szCs w:val="20"/>
        </w:rPr>
        <w:t xml:space="preserve"> </w:t>
      </w:r>
      <w:r w:rsidR="00931D72">
        <w:rPr>
          <w:rFonts w:ascii="Times New Roman" w:hAnsi="Times New Roman"/>
          <w:b/>
          <w:smallCaps/>
          <w:sz w:val="24"/>
          <w:szCs w:val="20"/>
        </w:rPr>
        <w:t>Kennedy</w:t>
      </w:r>
      <w:r w:rsidR="00931D72" w:rsidRPr="008642E3">
        <w:rPr>
          <w:rFonts w:ascii="Times New Roman" w:hAnsi="Times New Roman"/>
          <w:sz w:val="24"/>
          <w:szCs w:val="20"/>
        </w:rPr>
        <w:t xml:space="preserve"> </w:t>
      </w:r>
      <w:r w:rsidR="00DD0389" w:rsidRPr="008642E3">
        <w:rPr>
          <w:rFonts w:ascii="Times New Roman" w:hAnsi="Times New Roman"/>
          <w:sz w:val="24"/>
          <w:szCs w:val="20"/>
        </w:rPr>
        <w:t>delivered the opinion of the Court.</w:t>
      </w:r>
    </w:p>
    <w:p w14:paraId="4FEA3AD6" w14:textId="3CCB90E0" w:rsidR="00DD0389" w:rsidRDefault="00DD0389" w:rsidP="009641A4">
      <w:pPr>
        <w:widowControl w:val="0"/>
        <w:autoSpaceDE w:val="0"/>
        <w:autoSpaceDN w:val="0"/>
        <w:adjustRightInd w:val="0"/>
        <w:spacing w:after="0" w:line="240" w:lineRule="auto"/>
        <w:ind w:firstLine="720"/>
        <w:jc w:val="both"/>
        <w:rPr>
          <w:rFonts w:ascii="Times New Roman" w:hAnsi="Times New Roman"/>
          <w:sz w:val="24"/>
          <w:szCs w:val="20"/>
        </w:rPr>
      </w:pPr>
      <w:bookmarkStart w:id="0" w:name="co_anchor_Ie27a6af4c68d11e698dc8b09b4f04"/>
      <w:bookmarkEnd w:id="0"/>
      <w:r w:rsidRPr="008642E3">
        <w:rPr>
          <w:rFonts w:ascii="Times New Roman" w:hAnsi="Times New Roman"/>
          <w:sz w:val="24"/>
          <w:szCs w:val="20"/>
        </w:rPr>
        <w:t>The Court is asked once again to consider whether the race-conscious admissions program at the University of Texas is lawful under the Equal Protection Clause.</w:t>
      </w:r>
      <w:bookmarkStart w:id="1" w:name="co_anchor_Ie27a6af5c68d11e698dc8b09b4f04"/>
      <w:bookmarkEnd w:id="1"/>
    </w:p>
    <w:p w14:paraId="6881A8DB" w14:textId="77777777" w:rsidR="007947B4" w:rsidRPr="008642E3" w:rsidRDefault="007947B4" w:rsidP="009641A4">
      <w:pPr>
        <w:widowControl w:val="0"/>
        <w:autoSpaceDE w:val="0"/>
        <w:autoSpaceDN w:val="0"/>
        <w:adjustRightInd w:val="0"/>
        <w:spacing w:after="0" w:line="240" w:lineRule="auto"/>
        <w:ind w:firstLine="720"/>
        <w:jc w:val="both"/>
        <w:rPr>
          <w:rFonts w:ascii="Times New Roman" w:hAnsi="Times New Roman"/>
          <w:sz w:val="24"/>
          <w:szCs w:val="20"/>
        </w:rPr>
      </w:pPr>
    </w:p>
    <w:p w14:paraId="67E00A04" w14:textId="77032A31" w:rsidR="00DD0389" w:rsidRDefault="00DD0389" w:rsidP="007947B4">
      <w:pPr>
        <w:widowControl w:val="0"/>
        <w:autoSpaceDE w:val="0"/>
        <w:autoSpaceDN w:val="0"/>
        <w:adjustRightInd w:val="0"/>
        <w:spacing w:after="0" w:line="240" w:lineRule="auto"/>
        <w:jc w:val="center"/>
        <w:rPr>
          <w:rFonts w:ascii="Times New Roman" w:hAnsi="Times New Roman"/>
          <w:b/>
          <w:sz w:val="24"/>
          <w:szCs w:val="20"/>
        </w:rPr>
      </w:pPr>
      <w:r w:rsidRPr="007947B4">
        <w:rPr>
          <w:rFonts w:ascii="Times New Roman" w:hAnsi="Times New Roman"/>
          <w:b/>
          <w:sz w:val="24"/>
          <w:szCs w:val="20"/>
        </w:rPr>
        <w:t>I</w:t>
      </w:r>
    </w:p>
    <w:p w14:paraId="4F76A2FE" w14:textId="77777777" w:rsidR="007947B4" w:rsidRPr="007947B4" w:rsidRDefault="007947B4" w:rsidP="007947B4">
      <w:pPr>
        <w:widowControl w:val="0"/>
        <w:autoSpaceDE w:val="0"/>
        <w:autoSpaceDN w:val="0"/>
        <w:adjustRightInd w:val="0"/>
        <w:spacing w:after="0" w:line="240" w:lineRule="auto"/>
        <w:jc w:val="center"/>
        <w:rPr>
          <w:rFonts w:ascii="Times New Roman" w:hAnsi="Times New Roman"/>
          <w:b/>
          <w:sz w:val="24"/>
          <w:szCs w:val="20"/>
        </w:rPr>
      </w:pPr>
    </w:p>
    <w:p w14:paraId="18ED3956" w14:textId="5F1421D7" w:rsidR="00DD0389" w:rsidRPr="008642E3" w:rsidRDefault="00DD0389" w:rsidP="00360080">
      <w:pPr>
        <w:widowControl w:val="0"/>
        <w:autoSpaceDE w:val="0"/>
        <w:autoSpaceDN w:val="0"/>
        <w:adjustRightInd w:val="0"/>
        <w:spacing w:after="0" w:line="240" w:lineRule="auto"/>
        <w:ind w:firstLine="720"/>
        <w:jc w:val="both"/>
        <w:rPr>
          <w:rFonts w:ascii="Times New Roman" w:hAnsi="Times New Roman"/>
          <w:sz w:val="24"/>
          <w:szCs w:val="20"/>
        </w:rPr>
      </w:pPr>
      <w:r w:rsidRPr="008642E3">
        <w:rPr>
          <w:rFonts w:ascii="Times New Roman" w:hAnsi="Times New Roman"/>
          <w:sz w:val="24"/>
          <w:szCs w:val="20"/>
        </w:rPr>
        <w:t xml:space="preserve">The University </w:t>
      </w:r>
      <w:r w:rsidR="00976352">
        <w:rPr>
          <w:rFonts w:ascii="Times New Roman" w:hAnsi="Times New Roman"/>
          <w:sz w:val="24"/>
          <w:szCs w:val="20"/>
        </w:rPr>
        <w:t xml:space="preserve">. . . </w:t>
      </w:r>
      <w:r w:rsidRPr="008642E3">
        <w:rPr>
          <w:rFonts w:ascii="Times New Roman" w:hAnsi="Times New Roman"/>
          <w:sz w:val="24"/>
          <w:szCs w:val="20"/>
        </w:rPr>
        <w:t>relies upon a co</w:t>
      </w:r>
      <w:r w:rsidR="00976352">
        <w:rPr>
          <w:rFonts w:ascii="Times New Roman" w:hAnsi="Times New Roman"/>
          <w:sz w:val="24"/>
          <w:szCs w:val="20"/>
        </w:rPr>
        <w:t>mp</w:t>
      </w:r>
      <w:r w:rsidRPr="008642E3">
        <w:rPr>
          <w:rFonts w:ascii="Times New Roman" w:hAnsi="Times New Roman"/>
          <w:sz w:val="24"/>
          <w:szCs w:val="20"/>
        </w:rPr>
        <w:t>lex system of admissions that has undergone significant evolution over the past two decades. Until 1996, the University made its admissions decisions primarily based on a measure called “Academic Index” (or AI), which it calculated by combining an applicant’s SAT score and academic performance in high school. In assessing applicants, preference was given to racial minorities.</w:t>
      </w:r>
    </w:p>
    <w:p w14:paraId="5FBD51B6" w14:textId="77777777" w:rsidR="00DD0389" w:rsidRPr="008642E3" w:rsidRDefault="00DD0389">
      <w:pPr>
        <w:widowControl w:val="0"/>
        <w:autoSpaceDE w:val="0"/>
        <w:autoSpaceDN w:val="0"/>
        <w:adjustRightInd w:val="0"/>
        <w:spacing w:after="0" w:line="240" w:lineRule="auto"/>
        <w:jc w:val="both"/>
        <w:rPr>
          <w:rFonts w:ascii="Times New Roman" w:hAnsi="Times New Roman"/>
          <w:sz w:val="24"/>
          <w:szCs w:val="20"/>
        </w:rPr>
      </w:pPr>
      <w:r w:rsidRPr="008642E3">
        <w:rPr>
          <w:rFonts w:ascii="Times New Roman" w:hAnsi="Times New Roman"/>
          <w:sz w:val="24"/>
          <w:szCs w:val="20"/>
        </w:rPr>
        <w:t> </w:t>
      </w:r>
    </w:p>
    <w:p w14:paraId="7CF4992B" w14:textId="77777777" w:rsidR="00DD0389" w:rsidRPr="008642E3" w:rsidRDefault="00DD0389" w:rsidP="00360080">
      <w:pPr>
        <w:widowControl w:val="0"/>
        <w:autoSpaceDE w:val="0"/>
        <w:autoSpaceDN w:val="0"/>
        <w:adjustRightInd w:val="0"/>
        <w:spacing w:after="0" w:line="240" w:lineRule="auto"/>
        <w:ind w:firstLine="720"/>
        <w:jc w:val="both"/>
        <w:rPr>
          <w:rFonts w:ascii="Times New Roman" w:hAnsi="Times New Roman"/>
          <w:sz w:val="24"/>
          <w:szCs w:val="20"/>
        </w:rPr>
      </w:pPr>
      <w:r w:rsidRPr="008642E3">
        <w:rPr>
          <w:rFonts w:ascii="Times New Roman" w:hAnsi="Times New Roman"/>
          <w:sz w:val="24"/>
          <w:szCs w:val="20"/>
        </w:rPr>
        <w:t xml:space="preserve">In 1996, the Court of Appeals for the Fifth Circuit invalidated this admissions system, holding that any consideration of race in college admissions violates the Equal Protection Clause. See </w:t>
      </w:r>
      <w:r w:rsidR="008C4D8D" w:rsidRPr="00765240">
        <w:rPr>
          <w:rFonts w:ascii="Times New Roman" w:hAnsi="Times New Roman"/>
          <w:iCs/>
          <w:sz w:val="24"/>
          <w:szCs w:val="20"/>
        </w:rPr>
        <w:t>Hopwood v. Texas</w:t>
      </w:r>
      <w:r w:rsidR="00931D72">
        <w:rPr>
          <w:rFonts w:ascii="Times New Roman" w:hAnsi="Times New Roman"/>
          <w:iCs/>
          <w:sz w:val="24"/>
          <w:szCs w:val="20"/>
        </w:rPr>
        <w:t xml:space="preserve"> (5th Cir. 1996)</w:t>
      </w:r>
      <w:r w:rsidR="008C4D8D" w:rsidRPr="008642E3">
        <w:rPr>
          <w:rFonts w:ascii="Times New Roman" w:hAnsi="Times New Roman"/>
          <w:i/>
          <w:iCs/>
          <w:sz w:val="24"/>
          <w:szCs w:val="20"/>
        </w:rPr>
        <w:t>.</w:t>
      </w:r>
    </w:p>
    <w:p w14:paraId="4EA4EF98" w14:textId="77777777" w:rsidR="00DD0389" w:rsidRPr="008642E3" w:rsidRDefault="00DD0389">
      <w:pPr>
        <w:widowControl w:val="0"/>
        <w:autoSpaceDE w:val="0"/>
        <w:autoSpaceDN w:val="0"/>
        <w:adjustRightInd w:val="0"/>
        <w:spacing w:after="0" w:line="240" w:lineRule="auto"/>
        <w:jc w:val="both"/>
        <w:rPr>
          <w:rFonts w:ascii="Times New Roman" w:hAnsi="Times New Roman"/>
          <w:sz w:val="24"/>
          <w:szCs w:val="20"/>
        </w:rPr>
      </w:pPr>
      <w:r w:rsidRPr="008642E3">
        <w:rPr>
          <w:rFonts w:ascii="Times New Roman" w:hAnsi="Times New Roman"/>
          <w:sz w:val="24"/>
          <w:szCs w:val="20"/>
        </w:rPr>
        <w:t> </w:t>
      </w:r>
    </w:p>
    <w:p w14:paraId="2888867E" w14:textId="77777777" w:rsidR="00DD0389" w:rsidRPr="008642E3" w:rsidRDefault="00DD0389" w:rsidP="00360080">
      <w:pPr>
        <w:widowControl w:val="0"/>
        <w:autoSpaceDE w:val="0"/>
        <w:autoSpaceDN w:val="0"/>
        <w:adjustRightInd w:val="0"/>
        <w:spacing w:after="0" w:line="240" w:lineRule="auto"/>
        <w:ind w:firstLine="720"/>
        <w:jc w:val="both"/>
        <w:rPr>
          <w:rFonts w:ascii="Times New Roman" w:hAnsi="Times New Roman"/>
          <w:sz w:val="24"/>
          <w:szCs w:val="20"/>
        </w:rPr>
      </w:pPr>
      <w:r w:rsidRPr="008642E3">
        <w:rPr>
          <w:rFonts w:ascii="Times New Roman" w:hAnsi="Times New Roman"/>
          <w:sz w:val="24"/>
          <w:szCs w:val="20"/>
        </w:rPr>
        <w:t xml:space="preserve">One year later the University adopted a new admissions policy. Instead of considering race, the University began making admissions decisions based on an applicant’s AI and his or her “Personal Achievement Index” (PAI). The PAI was a numerical score based on a holistic review of an application. Included in the number were the applicant’s essays, leadership and work experience, extracurricular activities, community service, and other “special characteristics” that might give the admissions committee insight into a student’s background. Consistent with </w:t>
      </w:r>
      <w:r w:rsidRPr="008642E3">
        <w:rPr>
          <w:rFonts w:ascii="Times New Roman" w:hAnsi="Times New Roman"/>
          <w:i/>
          <w:iCs/>
          <w:sz w:val="24"/>
          <w:szCs w:val="20"/>
        </w:rPr>
        <w:t>Hopwood,</w:t>
      </w:r>
      <w:r w:rsidRPr="008642E3">
        <w:rPr>
          <w:rFonts w:ascii="Times New Roman" w:hAnsi="Times New Roman"/>
          <w:sz w:val="24"/>
          <w:szCs w:val="20"/>
        </w:rPr>
        <w:t xml:space="preserve"> race was not a consideration in calculating an applicant’s AI or PAI.</w:t>
      </w:r>
    </w:p>
    <w:p w14:paraId="189C554F" w14:textId="77777777" w:rsidR="00DD0389" w:rsidRPr="008642E3" w:rsidRDefault="00DD0389">
      <w:pPr>
        <w:widowControl w:val="0"/>
        <w:autoSpaceDE w:val="0"/>
        <w:autoSpaceDN w:val="0"/>
        <w:adjustRightInd w:val="0"/>
        <w:spacing w:after="0" w:line="240" w:lineRule="auto"/>
        <w:jc w:val="both"/>
        <w:rPr>
          <w:rFonts w:ascii="Times New Roman" w:hAnsi="Times New Roman"/>
          <w:sz w:val="24"/>
          <w:szCs w:val="20"/>
        </w:rPr>
      </w:pPr>
      <w:r w:rsidRPr="008642E3">
        <w:rPr>
          <w:rFonts w:ascii="Times New Roman" w:hAnsi="Times New Roman"/>
          <w:sz w:val="24"/>
          <w:szCs w:val="20"/>
        </w:rPr>
        <w:lastRenderedPageBreak/>
        <w:t> </w:t>
      </w:r>
    </w:p>
    <w:p w14:paraId="408180C1" w14:textId="5F1684AF" w:rsidR="00DD0389" w:rsidRPr="008642E3" w:rsidRDefault="00DD0389" w:rsidP="00360080">
      <w:pPr>
        <w:widowControl w:val="0"/>
        <w:autoSpaceDE w:val="0"/>
        <w:autoSpaceDN w:val="0"/>
        <w:adjustRightInd w:val="0"/>
        <w:spacing w:after="0" w:line="240" w:lineRule="auto"/>
        <w:ind w:firstLine="720"/>
        <w:jc w:val="both"/>
        <w:rPr>
          <w:rFonts w:ascii="Times New Roman" w:hAnsi="Times New Roman"/>
          <w:sz w:val="24"/>
          <w:szCs w:val="20"/>
        </w:rPr>
      </w:pPr>
      <w:r w:rsidRPr="008642E3">
        <w:rPr>
          <w:rFonts w:ascii="Times New Roman" w:hAnsi="Times New Roman"/>
          <w:sz w:val="24"/>
          <w:szCs w:val="20"/>
        </w:rPr>
        <w:t xml:space="preserve">The Texas Legislature responded to </w:t>
      </w:r>
      <w:r w:rsidRPr="008642E3">
        <w:rPr>
          <w:rFonts w:ascii="Times New Roman" w:hAnsi="Times New Roman"/>
          <w:i/>
          <w:iCs/>
          <w:sz w:val="24"/>
          <w:szCs w:val="20"/>
        </w:rPr>
        <w:t>Hopwood</w:t>
      </w:r>
      <w:r w:rsidRPr="008642E3">
        <w:rPr>
          <w:rFonts w:ascii="Times New Roman" w:hAnsi="Times New Roman"/>
          <w:sz w:val="24"/>
          <w:szCs w:val="20"/>
        </w:rPr>
        <w:t xml:space="preserve"> as well. It enacted H.B. 588, commonly known as the Top Ten Percent Law. </w:t>
      </w:r>
      <w:r w:rsidR="00976352">
        <w:rPr>
          <w:rFonts w:ascii="Times New Roman" w:hAnsi="Times New Roman"/>
          <w:sz w:val="24"/>
          <w:szCs w:val="20"/>
        </w:rPr>
        <w:t>[It]</w:t>
      </w:r>
      <w:r w:rsidRPr="008642E3">
        <w:rPr>
          <w:rFonts w:ascii="Times New Roman" w:hAnsi="Times New Roman"/>
          <w:sz w:val="24"/>
          <w:szCs w:val="20"/>
        </w:rPr>
        <w:t xml:space="preserve"> guarantees college admission to students who graduate from a Texas high school in the top 10 percent of their class. Those students may choose to attend any of the public universities in the State.</w:t>
      </w:r>
    </w:p>
    <w:p w14:paraId="433549C6" w14:textId="77777777" w:rsidR="00DD0389" w:rsidRPr="008642E3" w:rsidRDefault="00DD0389">
      <w:pPr>
        <w:widowControl w:val="0"/>
        <w:autoSpaceDE w:val="0"/>
        <w:autoSpaceDN w:val="0"/>
        <w:adjustRightInd w:val="0"/>
        <w:spacing w:after="0" w:line="240" w:lineRule="auto"/>
        <w:jc w:val="both"/>
        <w:rPr>
          <w:rFonts w:ascii="Times New Roman" w:hAnsi="Times New Roman"/>
          <w:sz w:val="24"/>
          <w:szCs w:val="20"/>
        </w:rPr>
      </w:pPr>
      <w:r w:rsidRPr="008642E3">
        <w:rPr>
          <w:rFonts w:ascii="Times New Roman" w:hAnsi="Times New Roman"/>
          <w:sz w:val="24"/>
          <w:szCs w:val="20"/>
        </w:rPr>
        <w:t> </w:t>
      </w:r>
    </w:p>
    <w:p w14:paraId="6E5C0CB7" w14:textId="77777777" w:rsidR="00DD0389" w:rsidRPr="008642E3" w:rsidRDefault="00DD0389" w:rsidP="00360080">
      <w:pPr>
        <w:widowControl w:val="0"/>
        <w:autoSpaceDE w:val="0"/>
        <w:autoSpaceDN w:val="0"/>
        <w:adjustRightInd w:val="0"/>
        <w:spacing w:after="0" w:line="240" w:lineRule="auto"/>
        <w:ind w:firstLine="720"/>
        <w:jc w:val="both"/>
        <w:rPr>
          <w:rFonts w:ascii="Times New Roman" w:hAnsi="Times New Roman"/>
          <w:sz w:val="24"/>
          <w:szCs w:val="20"/>
        </w:rPr>
      </w:pPr>
      <w:r w:rsidRPr="008642E3">
        <w:rPr>
          <w:rFonts w:ascii="Times New Roman" w:hAnsi="Times New Roman"/>
          <w:sz w:val="24"/>
          <w:szCs w:val="20"/>
        </w:rPr>
        <w:t>The University implemented the Top Ten Percent Law in 1998. After first admitting any student who qualified for admission under that law, the University filled the remainder of its incoming freshman class using a combination of an applicant’s AI and PAI scores—again, without considering race.</w:t>
      </w:r>
    </w:p>
    <w:p w14:paraId="5C60B5E0" w14:textId="77777777" w:rsidR="00DD0389" w:rsidRPr="008642E3" w:rsidRDefault="00DD0389">
      <w:pPr>
        <w:widowControl w:val="0"/>
        <w:autoSpaceDE w:val="0"/>
        <w:autoSpaceDN w:val="0"/>
        <w:adjustRightInd w:val="0"/>
        <w:spacing w:after="0" w:line="240" w:lineRule="auto"/>
        <w:jc w:val="both"/>
        <w:rPr>
          <w:rFonts w:ascii="Times New Roman" w:hAnsi="Times New Roman"/>
          <w:sz w:val="24"/>
          <w:szCs w:val="20"/>
        </w:rPr>
      </w:pPr>
      <w:r w:rsidRPr="008642E3">
        <w:rPr>
          <w:rFonts w:ascii="Times New Roman" w:hAnsi="Times New Roman"/>
          <w:sz w:val="24"/>
          <w:szCs w:val="20"/>
        </w:rPr>
        <w:t> </w:t>
      </w:r>
    </w:p>
    <w:p w14:paraId="052E33B6" w14:textId="3B57B9EF" w:rsidR="00DD0389" w:rsidRPr="008642E3" w:rsidRDefault="00DD0389" w:rsidP="00360080">
      <w:pPr>
        <w:widowControl w:val="0"/>
        <w:autoSpaceDE w:val="0"/>
        <w:autoSpaceDN w:val="0"/>
        <w:adjustRightInd w:val="0"/>
        <w:spacing w:after="0" w:line="240" w:lineRule="auto"/>
        <w:ind w:firstLine="720"/>
        <w:jc w:val="both"/>
        <w:rPr>
          <w:rFonts w:ascii="Times New Roman" w:hAnsi="Times New Roman"/>
          <w:sz w:val="24"/>
          <w:szCs w:val="20"/>
        </w:rPr>
      </w:pPr>
      <w:r w:rsidRPr="008642E3">
        <w:rPr>
          <w:rFonts w:ascii="Times New Roman" w:hAnsi="Times New Roman"/>
          <w:sz w:val="24"/>
          <w:szCs w:val="20"/>
        </w:rPr>
        <w:t xml:space="preserve">The University used this admissions system until 2003, when this Court decided the companion cases of </w:t>
      </w:r>
      <w:r w:rsidR="008E1D66" w:rsidRPr="00A723A4">
        <w:rPr>
          <w:rFonts w:ascii="Times New Roman" w:hAnsi="Times New Roman"/>
          <w:iCs/>
          <w:sz w:val="24"/>
          <w:szCs w:val="20"/>
        </w:rPr>
        <w:t>Grutter v. Bollinger</w:t>
      </w:r>
      <w:r w:rsidRPr="008642E3">
        <w:rPr>
          <w:rFonts w:ascii="Times New Roman" w:hAnsi="Times New Roman"/>
          <w:sz w:val="24"/>
          <w:szCs w:val="20"/>
        </w:rPr>
        <w:t xml:space="preserve"> and </w:t>
      </w:r>
      <w:r w:rsidRPr="00A723A4">
        <w:rPr>
          <w:rFonts w:ascii="Times New Roman" w:hAnsi="Times New Roman"/>
          <w:iCs/>
          <w:sz w:val="24"/>
          <w:szCs w:val="20"/>
        </w:rPr>
        <w:t>Gratz v. Bollinger</w:t>
      </w:r>
      <w:r w:rsidR="008E1D66" w:rsidRPr="008642E3">
        <w:rPr>
          <w:rFonts w:ascii="Times New Roman" w:hAnsi="Times New Roman"/>
          <w:i/>
          <w:iCs/>
          <w:sz w:val="24"/>
          <w:szCs w:val="20"/>
        </w:rPr>
        <w:t xml:space="preserve">. </w:t>
      </w:r>
      <w:r w:rsidRPr="008642E3">
        <w:rPr>
          <w:rFonts w:ascii="Times New Roman" w:hAnsi="Times New Roman"/>
          <w:sz w:val="24"/>
          <w:szCs w:val="20"/>
        </w:rPr>
        <w:t xml:space="preserve">In </w:t>
      </w:r>
      <w:r w:rsidRPr="008642E3">
        <w:rPr>
          <w:rFonts w:ascii="Times New Roman" w:hAnsi="Times New Roman"/>
          <w:i/>
          <w:iCs/>
          <w:sz w:val="24"/>
          <w:szCs w:val="20"/>
        </w:rPr>
        <w:t>Gratz,</w:t>
      </w:r>
      <w:r w:rsidRPr="008642E3">
        <w:rPr>
          <w:rFonts w:ascii="Times New Roman" w:hAnsi="Times New Roman"/>
          <w:sz w:val="24"/>
          <w:szCs w:val="20"/>
        </w:rPr>
        <w:t xml:space="preserve"> this Court struck down the University of Michigan’s undergraduate system of admissions, which at the time allocated predetermined point</w:t>
      </w:r>
      <w:r w:rsidR="008E1D66" w:rsidRPr="008642E3">
        <w:rPr>
          <w:rFonts w:ascii="Times New Roman" w:hAnsi="Times New Roman"/>
          <w:sz w:val="24"/>
          <w:szCs w:val="20"/>
        </w:rPr>
        <w:t>s to racial minority candidates</w:t>
      </w:r>
      <w:r w:rsidRPr="008642E3">
        <w:rPr>
          <w:rFonts w:ascii="Times New Roman" w:hAnsi="Times New Roman"/>
          <w:sz w:val="24"/>
          <w:szCs w:val="20"/>
        </w:rPr>
        <w:t xml:space="preserve">. In </w:t>
      </w:r>
      <w:r w:rsidRPr="008642E3">
        <w:rPr>
          <w:rFonts w:ascii="Times New Roman" w:hAnsi="Times New Roman"/>
          <w:i/>
          <w:iCs/>
          <w:sz w:val="24"/>
          <w:szCs w:val="20"/>
        </w:rPr>
        <w:t>Grutter,</w:t>
      </w:r>
      <w:r w:rsidRPr="008642E3">
        <w:rPr>
          <w:rFonts w:ascii="Times New Roman" w:hAnsi="Times New Roman"/>
          <w:sz w:val="24"/>
          <w:szCs w:val="20"/>
        </w:rPr>
        <w:t xml:space="preserve"> however, the Court upheld the University of Michigan Law School’s system of holistic review—a system that did not mechanically assign points but rather treated race as a relevant feature within the broader contex</w:t>
      </w:r>
      <w:r w:rsidR="008E1D66" w:rsidRPr="008642E3">
        <w:rPr>
          <w:rFonts w:ascii="Times New Roman" w:hAnsi="Times New Roman"/>
          <w:sz w:val="24"/>
          <w:szCs w:val="20"/>
        </w:rPr>
        <w:t xml:space="preserve">t of a candidate’s application. </w:t>
      </w:r>
      <w:r w:rsidRPr="008642E3">
        <w:rPr>
          <w:rFonts w:ascii="Times New Roman" w:hAnsi="Times New Roman"/>
          <w:sz w:val="24"/>
          <w:szCs w:val="20"/>
        </w:rPr>
        <w:t xml:space="preserve">In upholding this nuanced use of race, </w:t>
      </w:r>
      <w:r w:rsidRPr="008642E3">
        <w:rPr>
          <w:rFonts w:ascii="Times New Roman" w:hAnsi="Times New Roman"/>
          <w:i/>
          <w:iCs/>
          <w:sz w:val="24"/>
          <w:szCs w:val="20"/>
        </w:rPr>
        <w:t>Grutter</w:t>
      </w:r>
      <w:r w:rsidRPr="008642E3">
        <w:rPr>
          <w:rFonts w:ascii="Times New Roman" w:hAnsi="Times New Roman"/>
          <w:sz w:val="24"/>
          <w:szCs w:val="20"/>
        </w:rPr>
        <w:t xml:space="preserve"> implicitly overruled </w:t>
      </w:r>
      <w:r w:rsidRPr="008642E3">
        <w:rPr>
          <w:rFonts w:ascii="Times New Roman" w:hAnsi="Times New Roman"/>
          <w:i/>
          <w:iCs/>
          <w:sz w:val="24"/>
          <w:szCs w:val="20"/>
        </w:rPr>
        <w:t>Hopwood</w:t>
      </w:r>
      <w:r w:rsidR="00931D72">
        <w:rPr>
          <w:rFonts w:ascii="Times New Roman" w:hAnsi="Times New Roman"/>
          <w:sz w:val="24"/>
          <w:szCs w:val="20"/>
        </w:rPr>
        <w:t>’</w:t>
      </w:r>
      <w:r w:rsidRPr="008642E3">
        <w:rPr>
          <w:rFonts w:ascii="Times New Roman" w:hAnsi="Times New Roman"/>
          <w:sz w:val="24"/>
          <w:szCs w:val="20"/>
        </w:rPr>
        <w:t>s categorical prohibition.</w:t>
      </w:r>
    </w:p>
    <w:p w14:paraId="58827EB8" w14:textId="77777777" w:rsidR="00DD0389" w:rsidRPr="008642E3" w:rsidRDefault="00DD0389">
      <w:pPr>
        <w:widowControl w:val="0"/>
        <w:autoSpaceDE w:val="0"/>
        <w:autoSpaceDN w:val="0"/>
        <w:adjustRightInd w:val="0"/>
        <w:spacing w:after="0" w:line="240" w:lineRule="auto"/>
        <w:jc w:val="both"/>
        <w:rPr>
          <w:rFonts w:ascii="Times New Roman" w:hAnsi="Times New Roman"/>
          <w:sz w:val="24"/>
          <w:szCs w:val="20"/>
        </w:rPr>
      </w:pPr>
      <w:r w:rsidRPr="008642E3">
        <w:rPr>
          <w:rFonts w:ascii="Times New Roman" w:hAnsi="Times New Roman"/>
          <w:sz w:val="24"/>
          <w:szCs w:val="20"/>
        </w:rPr>
        <w:t> </w:t>
      </w:r>
    </w:p>
    <w:p w14:paraId="21443C20" w14:textId="77777777" w:rsidR="00DD0389" w:rsidRPr="008642E3" w:rsidRDefault="00DD0389" w:rsidP="00360080">
      <w:pPr>
        <w:widowControl w:val="0"/>
        <w:autoSpaceDE w:val="0"/>
        <w:autoSpaceDN w:val="0"/>
        <w:adjustRightInd w:val="0"/>
        <w:spacing w:after="0" w:line="240" w:lineRule="auto"/>
        <w:ind w:firstLine="720"/>
        <w:jc w:val="both"/>
        <w:rPr>
          <w:rFonts w:ascii="Times New Roman" w:hAnsi="Times New Roman"/>
          <w:sz w:val="24"/>
          <w:szCs w:val="20"/>
        </w:rPr>
      </w:pPr>
      <w:r w:rsidRPr="008642E3">
        <w:rPr>
          <w:rFonts w:ascii="Times New Roman" w:hAnsi="Times New Roman"/>
          <w:sz w:val="24"/>
          <w:szCs w:val="20"/>
        </w:rPr>
        <w:t xml:space="preserve">In the wake of </w:t>
      </w:r>
      <w:r w:rsidRPr="008642E3">
        <w:rPr>
          <w:rFonts w:ascii="Times New Roman" w:hAnsi="Times New Roman"/>
          <w:i/>
          <w:iCs/>
          <w:sz w:val="24"/>
          <w:szCs w:val="20"/>
        </w:rPr>
        <w:t>Grutter,</w:t>
      </w:r>
      <w:r w:rsidRPr="008642E3">
        <w:rPr>
          <w:rFonts w:ascii="Times New Roman" w:hAnsi="Times New Roman"/>
          <w:sz w:val="24"/>
          <w:szCs w:val="20"/>
        </w:rPr>
        <w:t xml:space="preserve"> the University embarked upon a year-long study seeking to ascertain whether its admissions policy was allowing it to provide “the educational benefits of a diverse student body</w:t>
      </w:r>
      <w:r w:rsidR="000F325F">
        <w:rPr>
          <w:rFonts w:ascii="Times New Roman" w:hAnsi="Times New Roman"/>
          <w:sz w:val="24"/>
          <w:szCs w:val="20"/>
        </w:rPr>
        <w:t xml:space="preserve"> </w:t>
      </w:r>
      <w:r w:rsidRPr="008642E3">
        <w:rPr>
          <w:rFonts w:ascii="Times New Roman" w:hAnsi="Times New Roman"/>
          <w:sz w:val="24"/>
          <w:szCs w:val="20"/>
        </w:rPr>
        <w:t>.</w:t>
      </w:r>
      <w:r w:rsidR="000F325F">
        <w:rPr>
          <w:rFonts w:ascii="Times New Roman" w:hAnsi="Times New Roman"/>
          <w:sz w:val="24"/>
          <w:szCs w:val="20"/>
        </w:rPr>
        <w:t xml:space="preserve"> </w:t>
      </w:r>
      <w:r w:rsidRPr="008642E3">
        <w:rPr>
          <w:rFonts w:ascii="Times New Roman" w:hAnsi="Times New Roman"/>
          <w:sz w:val="24"/>
          <w:szCs w:val="20"/>
        </w:rPr>
        <w:t>.</w:t>
      </w:r>
      <w:r w:rsidR="000F325F">
        <w:rPr>
          <w:rFonts w:ascii="Times New Roman" w:hAnsi="Times New Roman"/>
          <w:sz w:val="24"/>
          <w:szCs w:val="20"/>
        </w:rPr>
        <w:t xml:space="preserve"> </w:t>
      </w:r>
      <w:r w:rsidRPr="008642E3">
        <w:rPr>
          <w:rFonts w:ascii="Times New Roman" w:hAnsi="Times New Roman"/>
          <w:sz w:val="24"/>
          <w:szCs w:val="20"/>
        </w:rPr>
        <w:t>. to</w:t>
      </w:r>
      <w:bookmarkStart w:id="2" w:name="co_pp_sp_708_2206_1"/>
      <w:bookmarkEnd w:id="2"/>
      <w:r w:rsidR="00550281" w:rsidRPr="008642E3">
        <w:rPr>
          <w:rFonts w:ascii="Times New Roman" w:hAnsi="Times New Roman"/>
          <w:sz w:val="24"/>
          <w:szCs w:val="20"/>
        </w:rPr>
        <w:t xml:space="preserve"> </w:t>
      </w:r>
      <w:r w:rsidRPr="008642E3">
        <w:rPr>
          <w:rFonts w:ascii="Times New Roman" w:hAnsi="Times New Roman"/>
          <w:sz w:val="24"/>
          <w:szCs w:val="20"/>
        </w:rPr>
        <w:t>all of the University’s undergraduate students.” The University concluded that its admissions policy was not providing these benefits.</w:t>
      </w:r>
    </w:p>
    <w:p w14:paraId="51C364F3" w14:textId="77777777" w:rsidR="00DD0389" w:rsidRPr="008642E3" w:rsidRDefault="00DD0389">
      <w:pPr>
        <w:widowControl w:val="0"/>
        <w:autoSpaceDE w:val="0"/>
        <w:autoSpaceDN w:val="0"/>
        <w:adjustRightInd w:val="0"/>
        <w:spacing w:after="0" w:line="240" w:lineRule="auto"/>
        <w:jc w:val="both"/>
        <w:rPr>
          <w:rFonts w:ascii="Times New Roman" w:hAnsi="Times New Roman"/>
          <w:sz w:val="24"/>
          <w:szCs w:val="20"/>
        </w:rPr>
      </w:pPr>
      <w:r w:rsidRPr="008642E3">
        <w:rPr>
          <w:rFonts w:ascii="Times New Roman" w:hAnsi="Times New Roman"/>
          <w:sz w:val="24"/>
          <w:szCs w:val="20"/>
        </w:rPr>
        <w:t> </w:t>
      </w:r>
    </w:p>
    <w:p w14:paraId="5004A980" w14:textId="77777777" w:rsidR="00DD0389" w:rsidRPr="008642E3" w:rsidRDefault="00DD0389" w:rsidP="00360080">
      <w:pPr>
        <w:widowControl w:val="0"/>
        <w:autoSpaceDE w:val="0"/>
        <w:autoSpaceDN w:val="0"/>
        <w:adjustRightInd w:val="0"/>
        <w:spacing w:after="0" w:line="240" w:lineRule="auto"/>
        <w:ind w:firstLine="720"/>
        <w:jc w:val="both"/>
        <w:rPr>
          <w:rFonts w:ascii="Times New Roman" w:hAnsi="Times New Roman"/>
          <w:sz w:val="24"/>
          <w:szCs w:val="20"/>
        </w:rPr>
      </w:pPr>
      <w:r w:rsidRPr="008642E3">
        <w:rPr>
          <w:rFonts w:ascii="Times New Roman" w:hAnsi="Times New Roman"/>
          <w:sz w:val="24"/>
          <w:szCs w:val="20"/>
        </w:rPr>
        <w:t>To change its system, the University submitted a proposal to the Board of Regents that requested permission to begin taking race into consideration as one of “the many ways in which [an] academically qualified individual might contribute to, and benefit from, the rich, diverse, and challenging educational environment of the University.” After the board approved the proposal, the University adopted a new admissions policy to implement it. The University has continued to use that admissions policy to this day.</w:t>
      </w:r>
    </w:p>
    <w:p w14:paraId="5DE76A91" w14:textId="77777777" w:rsidR="00DD0389" w:rsidRPr="008642E3" w:rsidRDefault="00DD0389">
      <w:pPr>
        <w:widowControl w:val="0"/>
        <w:autoSpaceDE w:val="0"/>
        <w:autoSpaceDN w:val="0"/>
        <w:adjustRightInd w:val="0"/>
        <w:spacing w:after="0" w:line="240" w:lineRule="auto"/>
        <w:jc w:val="both"/>
        <w:rPr>
          <w:rFonts w:ascii="Times New Roman" w:hAnsi="Times New Roman"/>
          <w:sz w:val="24"/>
          <w:szCs w:val="20"/>
        </w:rPr>
      </w:pPr>
      <w:r w:rsidRPr="008642E3">
        <w:rPr>
          <w:rFonts w:ascii="Times New Roman" w:hAnsi="Times New Roman"/>
          <w:sz w:val="24"/>
          <w:szCs w:val="20"/>
        </w:rPr>
        <w:t> </w:t>
      </w:r>
    </w:p>
    <w:p w14:paraId="11F01911" w14:textId="6334DE2D" w:rsidR="00DD0389" w:rsidRPr="008642E3" w:rsidRDefault="00DD0389" w:rsidP="00360080">
      <w:pPr>
        <w:widowControl w:val="0"/>
        <w:autoSpaceDE w:val="0"/>
        <w:autoSpaceDN w:val="0"/>
        <w:adjustRightInd w:val="0"/>
        <w:spacing w:after="0" w:line="240" w:lineRule="auto"/>
        <w:ind w:firstLine="720"/>
        <w:jc w:val="both"/>
        <w:rPr>
          <w:rFonts w:ascii="Times New Roman" w:hAnsi="Times New Roman"/>
          <w:sz w:val="24"/>
          <w:szCs w:val="20"/>
        </w:rPr>
      </w:pPr>
      <w:r w:rsidRPr="008642E3">
        <w:rPr>
          <w:rFonts w:ascii="Times New Roman" w:hAnsi="Times New Roman"/>
          <w:sz w:val="24"/>
          <w:szCs w:val="20"/>
        </w:rPr>
        <w:t xml:space="preserve">Although the University’s new admissions policy was a direct result of </w:t>
      </w:r>
      <w:r w:rsidRPr="008642E3">
        <w:rPr>
          <w:rFonts w:ascii="Times New Roman" w:hAnsi="Times New Roman"/>
          <w:i/>
          <w:iCs/>
          <w:sz w:val="24"/>
          <w:szCs w:val="20"/>
        </w:rPr>
        <w:t>Grutter,</w:t>
      </w:r>
      <w:r w:rsidRPr="008642E3">
        <w:rPr>
          <w:rFonts w:ascii="Times New Roman" w:hAnsi="Times New Roman"/>
          <w:sz w:val="24"/>
          <w:szCs w:val="20"/>
        </w:rPr>
        <w:t xml:space="preserve"> it is not identical to the policy this Court approved in that case. Instead, consistent with the State’s legislative directive, the University continues to fill a significant majority of its class through the Top Ten Percent Plan (or Plan). Today, up to 75 percent of the places in the freshman class are filled through the Plan. </w:t>
      </w:r>
      <w:r w:rsidR="00976352">
        <w:rPr>
          <w:rFonts w:ascii="Times New Roman" w:hAnsi="Times New Roman"/>
          <w:sz w:val="24"/>
          <w:szCs w:val="20"/>
        </w:rPr>
        <w:t>. . .</w:t>
      </w:r>
    </w:p>
    <w:p w14:paraId="42FE533A" w14:textId="77777777" w:rsidR="00DD0389" w:rsidRPr="008642E3" w:rsidRDefault="00DD0389">
      <w:pPr>
        <w:widowControl w:val="0"/>
        <w:autoSpaceDE w:val="0"/>
        <w:autoSpaceDN w:val="0"/>
        <w:adjustRightInd w:val="0"/>
        <w:spacing w:after="0" w:line="240" w:lineRule="auto"/>
        <w:jc w:val="both"/>
        <w:rPr>
          <w:rFonts w:ascii="Times New Roman" w:hAnsi="Times New Roman"/>
          <w:sz w:val="24"/>
          <w:szCs w:val="20"/>
        </w:rPr>
      </w:pPr>
      <w:r w:rsidRPr="008642E3">
        <w:rPr>
          <w:rFonts w:ascii="Times New Roman" w:hAnsi="Times New Roman"/>
          <w:sz w:val="24"/>
          <w:szCs w:val="20"/>
        </w:rPr>
        <w:t> </w:t>
      </w:r>
    </w:p>
    <w:p w14:paraId="31CBBECC" w14:textId="1734D20E" w:rsidR="00DD0389" w:rsidRPr="008642E3" w:rsidRDefault="00DD0389" w:rsidP="00360080">
      <w:pPr>
        <w:widowControl w:val="0"/>
        <w:autoSpaceDE w:val="0"/>
        <w:autoSpaceDN w:val="0"/>
        <w:adjustRightInd w:val="0"/>
        <w:spacing w:after="0" w:line="240" w:lineRule="auto"/>
        <w:ind w:firstLine="720"/>
        <w:jc w:val="both"/>
        <w:rPr>
          <w:rFonts w:ascii="Times New Roman" w:hAnsi="Times New Roman"/>
          <w:sz w:val="24"/>
          <w:szCs w:val="20"/>
        </w:rPr>
      </w:pPr>
      <w:r w:rsidRPr="008642E3">
        <w:rPr>
          <w:rFonts w:ascii="Times New Roman" w:hAnsi="Times New Roman"/>
          <w:sz w:val="24"/>
          <w:szCs w:val="20"/>
        </w:rPr>
        <w:t xml:space="preserve">The University did adopt an approach similar to the one in </w:t>
      </w:r>
      <w:r w:rsidRPr="008642E3">
        <w:rPr>
          <w:rFonts w:ascii="Times New Roman" w:hAnsi="Times New Roman"/>
          <w:i/>
          <w:iCs/>
          <w:sz w:val="24"/>
          <w:szCs w:val="20"/>
        </w:rPr>
        <w:t>Grutter</w:t>
      </w:r>
      <w:r w:rsidRPr="008642E3">
        <w:rPr>
          <w:rFonts w:ascii="Times New Roman" w:hAnsi="Times New Roman"/>
          <w:sz w:val="24"/>
          <w:szCs w:val="20"/>
        </w:rPr>
        <w:t xml:space="preserve"> for the remaining 25 percent or so of the incoming class. This portion of the class continues to be admitted based on a combination of their AI and PAI scores. Now, however, race is given weight as a subfactor within the </w:t>
      </w:r>
      <w:proofErr w:type="gramStart"/>
      <w:r w:rsidRPr="008642E3">
        <w:rPr>
          <w:rFonts w:ascii="Times New Roman" w:hAnsi="Times New Roman"/>
          <w:sz w:val="24"/>
          <w:szCs w:val="20"/>
        </w:rPr>
        <w:t>PAI</w:t>
      </w:r>
      <w:r w:rsidR="00671CBB">
        <w:rPr>
          <w:rFonts w:ascii="Times New Roman" w:hAnsi="Times New Roman"/>
          <w:sz w:val="24"/>
          <w:szCs w:val="20"/>
        </w:rPr>
        <w:t>. . . .</w:t>
      </w:r>
      <w:proofErr w:type="gramEnd"/>
      <w:r w:rsidR="00671CBB">
        <w:rPr>
          <w:rFonts w:ascii="Times New Roman" w:hAnsi="Times New Roman"/>
          <w:sz w:val="24"/>
          <w:szCs w:val="20"/>
        </w:rPr>
        <w:t xml:space="preserve"> </w:t>
      </w:r>
      <w:r w:rsidRPr="008642E3">
        <w:rPr>
          <w:rFonts w:ascii="Times New Roman" w:hAnsi="Times New Roman"/>
          <w:sz w:val="24"/>
          <w:szCs w:val="20"/>
        </w:rPr>
        <w:t>Therefore, although admissions officers can consider race as a positive feature of a minority student’s application, there is no dispute that race is but a “factor of a factor of a factor” in the holi</w:t>
      </w:r>
      <w:r w:rsidR="008C4D8D" w:rsidRPr="008642E3">
        <w:rPr>
          <w:rFonts w:ascii="Times New Roman" w:hAnsi="Times New Roman"/>
          <w:sz w:val="24"/>
          <w:szCs w:val="20"/>
        </w:rPr>
        <w:t>stic-review calculus</w:t>
      </w:r>
      <w:r w:rsidR="00671CBB">
        <w:rPr>
          <w:rFonts w:ascii="Times New Roman" w:hAnsi="Times New Roman"/>
          <w:sz w:val="24"/>
          <w:szCs w:val="20"/>
        </w:rPr>
        <w:t>. . . .</w:t>
      </w:r>
    </w:p>
    <w:p w14:paraId="70637312" w14:textId="77777777" w:rsidR="00DD0389" w:rsidRPr="008642E3" w:rsidRDefault="00DD0389">
      <w:pPr>
        <w:widowControl w:val="0"/>
        <w:autoSpaceDE w:val="0"/>
        <w:autoSpaceDN w:val="0"/>
        <w:adjustRightInd w:val="0"/>
        <w:spacing w:after="0" w:line="240" w:lineRule="auto"/>
        <w:jc w:val="both"/>
        <w:rPr>
          <w:rFonts w:ascii="Times New Roman" w:hAnsi="Times New Roman"/>
          <w:sz w:val="24"/>
          <w:szCs w:val="20"/>
        </w:rPr>
      </w:pPr>
      <w:r w:rsidRPr="008642E3">
        <w:rPr>
          <w:rFonts w:ascii="Times New Roman" w:hAnsi="Times New Roman"/>
          <w:sz w:val="24"/>
          <w:szCs w:val="20"/>
        </w:rPr>
        <w:t> </w:t>
      </w:r>
    </w:p>
    <w:p w14:paraId="32426703" w14:textId="77777777" w:rsidR="00DD0389" w:rsidRPr="008642E3" w:rsidRDefault="00DD0389" w:rsidP="00360080">
      <w:pPr>
        <w:widowControl w:val="0"/>
        <w:autoSpaceDE w:val="0"/>
        <w:autoSpaceDN w:val="0"/>
        <w:adjustRightInd w:val="0"/>
        <w:spacing w:after="0" w:line="240" w:lineRule="auto"/>
        <w:ind w:firstLine="720"/>
        <w:jc w:val="both"/>
        <w:rPr>
          <w:rFonts w:ascii="Times New Roman" w:hAnsi="Times New Roman"/>
          <w:sz w:val="24"/>
          <w:szCs w:val="20"/>
        </w:rPr>
      </w:pPr>
      <w:r w:rsidRPr="008642E3">
        <w:rPr>
          <w:rFonts w:ascii="Times New Roman" w:hAnsi="Times New Roman"/>
          <w:sz w:val="24"/>
          <w:szCs w:val="20"/>
        </w:rPr>
        <w:t xml:space="preserve">Petitioner Abigail Fisher applied for admission to the University’s 2008 freshman class. </w:t>
      </w:r>
      <w:r w:rsidRPr="008642E3">
        <w:rPr>
          <w:rFonts w:ascii="Times New Roman" w:hAnsi="Times New Roman"/>
          <w:sz w:val="24"/>
          <w:szCs w:val="20"/>
        </w:rPr>
        <w:lastRenderedPageBreak/>
        <w:t>She was not in the top 10 percent of her high school class, so she was evaluated for admission through holistic, full-file review. Petitioner’s application was rejected.</w:t>
      </w:r>
    </w:p>
    <w:p w14:paraId="3876A01A" w14:textId="77777777" w:rsidR="00DD0389" w:rsidRPr="008642E3" w:rsidRDefault="00DD0389">
      <w:pPr>
        <w:widowControl w:val="0"/>
        <w:autoSpaceDE w:val="0"/>
        <w:autoSpaceDN w:val="0"/>
        <w:adjustRightInd w:val="0"/>
        <w:spacing w:after="0" w:line="240" w:lineRule="auto"/>
        <w:jc w:val="both"/>
        <w:rPr>
          <w:rFonts w:ascii="Times New Roman" w:hAnsi="Times New Roman"/>
          <w:sz w:val="24"/>
          <w:szCs w:val="20"/>
        </w:rPr>
      </w:pPr>
      <w:r w:rsidRPr="008642E3">
        <w:rPr>
          <w:rFonts w:ascii="Times New Roman" w:hAnsi="Times New Roman"/>
          <w:sz w:val="24"/>
          <w:szCs w:val="20"/>
        </w:rPr>
        <w:t> </w:t>
      </w:r>
    </w:p>
    <w:p w14:paraId="39E8E042" w14:textId="77777777" w:rsidR="00DD0389" w:rsidRPr="008642E3" w:rsidRDefault="00DD0389" w:rsidP="00360080">
      <w:pPr>
        <w:widowControl w:val="0"/>
        <w:autoSpaceDE w:val="0"/>
        <w:autoSpaceDN w:val="0"/>
        <w:adjustRightInd w:val="0"/>
        <w:spacing w:after="0" w:line="240" w:lineRule="auto"/>
        <w:ind w:firstLine="720"/>
        <w:jc w:val="both"/>
        <w:rPr>
          <w:rFonts w:ascii="Times New Roman" w:hAnsi="Times New Roman"/>
          <w:sz w:val="24"/>
          <w:szCs w:val="20"/>
        </w:rPr>
      </w:pPr>
      <w:r w:rsidRPr="008642E3">
        <w:rPr>
          <w:rFonts w:ascii="Times New Roman" w:hAnsi="Times New Roman"/>
          <w:sz w:val="24"/>
          <w:szCs w:val="20"/>
        </w:rPr>
        <w:t>Petitioner then filed suit alleging that the University’s consideration of race as part of its holistic-review process disadvantaged her and other Caucasian applicants, in violation of the Equal Protection Clause. The District Court entered summary judgment in the University’s favor, and the Court of Appeals affirmed.</w:t>
      </w:r>
    </w:p>
    <w:p w14:paraId="35F02383" w14:textId="77777777" w:rsidR="00DD0389" w:rsidRPr="008642E3" w:rsidRDefault="00DD0389">
      <w:pPr>
        <w:widowControl w:val="0"/>
        <w:autoSpaceDE w:val="0"/>
        <w:autoSpaceDN w:val="0"/>
        <w:adjustRightInd w:val="0"/>
        <w:spacing w:after="0" w:line="240" w:lineRule="auto"/>
        <w:jc w:val="both"/>
        <w:rPr>
          <w:rFonts w:ascii="Times New Roman" w:hAnsi="Times New Roman"/>
          <w:sz w:val="24"/>
          <w:szCs w:val="20"/>
        </w:rPr>
      </w:pPr>
      <w:r w:rsidRPr="008642E3">
        <w:rPr>
          <w:rFonts w:ascii="Times New Roman" w:hAnsi="Times New Roman"/>
          <w:sz w:val="24"/>
          <w:szCs w:val="20"/>
        </w:rPr>
        <w:t> </w:t>
      </w:r>
    </w:p>
    <w:p w14:paraId="588F22C5" w14:textId="77777777" w:rsidR="00DD0389" w:rsidRPr="008642E3" w:rsidRDefault="00DD0389" w:rsidP="00360080">
      <w:pPr>
        <w:widowControl w:val="0"/>
        <w:autoSpaceDE w:val="0"/>
        <w:autoSpaceDN w:val="0"/>
        <w:adjustRightInd w:val="0"/>
        <w:spacing w:after="0" w:line="240" w:lineRule="auto"/>
        <w:ind w:firstLine="720"/>
        <w:jc w:val="both"/>
        <w:rPr>
          <w:rFonts w:ascii="Times New Roman" w:hAnsi="Times New Roman"/>
          <w:sz w:val="24"/>
          <w:szCs w:val="20"/>
        </w:rPr>
      </w:pPr>
      <w:r w:rsidRPr="008642E3">
        <w:rPr>
          <w:rFonts w:ascii="Times New Roman" w:hAnsi="Times New Roman"/>
          <w:sz w:val="24"/>
          <w:szCs w:val="20"/>
        </w:rPr>
        <w:t xml:space="preserve">This Court granted certiorari and vacated the judgment of the Court of Appeals, </w:t>
      </w:r>
      <w:r w:rsidRPr="00A723A4">
        <w:rPr>
          <w:rFonts w:ascii="Times New Roman" w:hAnsi="Times New Roman"/>
          <w:iCs/>
          <w:sz w:val="24"/>
          <w:szCs w:val="20"/>
        </w:rPr>
        <w:t>Fisher v</w:t>
      </w:r>
      <w:r w:rsidR="008E1D66" w:rsidRPr="00A723A4">
        <w:rPr>
          <w:rFonts w:ascii="Times New Roman" w:hAnsi="Times New Roman"/>
          <w:iCs/>
          <w:sz w:val="24"/>
          <w:szCs w:val="20"/>
        </w:rPr>
        <w:t>. University of Tex. at Austin</w:t>
      </w:r>
      <w:r w:rsidR="008E1D66" w:rsidRPr="008642E3">
        <w:rPr>
          <w:rFonts w:ascii="Times New Roman" w:hAnsi="Times New Roman"/>
          <w:i/>
          <w:iCs/>
          <w:sz w:val="24"/>
          <w:szCs w:val="20"/>
        </w:rPr>
        <w:t xml:space="preserve"> </w:t>
      </w:r>
      <w:r w:rsidRPr="008642E3">
        <w:rPr>
          <w:rFonts w:ascii="Times New Roman" w:hAnsi="Times New Roman"/>
          <w:sz w:val="24"/>
          <w:szCs w:val="20"/>
        </w:rPr>
        <w:t>(2013) (</w:t>
      </w:r>
      <w:r w:rsidRPr="008642E3">
        <w:rPr>
          <w:rFonts w:ascii="Times New Roman" w:hAnsi="Times New Roman"/>
          <w:i/>
          <w:iCs/>
          <w:sz w:val="24"/>
          <w:szCs w:val="20"/>
        </w:rPr>
        <w:t>Fisher I</w:t>
      </w:r>
      <w:r w:rsidRPr="008642E3">
        <w:rPr>
          <w:rFonts w:ascii="Times New Roman" w:hAnsi="Times New Roman"/>
          <w:sz w:val="24"/>
          <w:szCs w:val="20"/>
        </w:rPr>
        <w:t>), because it had applied an overly deferential “good-faith” standard in assessing the constitutionality of the University’s program. The Court remanded the case for the Court of Appeals to assess the parties’ claims under the correct legal standard.</w:t>
      </w:r>
    </w:p>
    <w:p w14:paraId="0635B2AA" w14:textId="77777777" w:rsidR="00DD0389" w:rsidRPr="008642E3" w:rsidRDefault="00DD0389">
      <w:pPr>
        <w:widowControl w:val="0"/>
        <w:autoSpaceDE w:val="0"/>
        <w:autoSpaceDN w:val="0"/>
        <w:adjustRightInd w:val="0"/>
        <w:spacing w:after="0" w:line="240" w:lineRule="auto"/>
        <w:jc w:val="both"/>
        <w:rPr>
          <w:rFonts w:ascii="Times New Roman" w:hAnsi="Times New Roman"/>
          <w:sz w:val="24"/>
          <w:szCs w:val="20"/>
        </w:rPr>
      </w:pPr>
      <w:r w:rsidRPr="008642E3">
        <w:rPr>
          <w:rFonts w:ascii="Times New Roman" w:hAnsi="Times New Roman"/>
          <w:sz w:val="24"/>
          <w:szCs w:val="20"/>
        </w:rPr>
        <w:t> </w:t>
      </w:r>
    </w:p>
    <w:p w14:paraId="75F6E861" w14:textId="233B83A6" w:rsidR="00DD0389" w:rsidRDefault="00DD0389" w:rsidP="00765240">
      <w:pPr>
        <w:widowControl w:val="0"/>
        <w:autoSpaceDE w:val="0"/>
        <w:autoSpaceDN w:val="0"/>
        <w:adjustRightInd w:val="0"/>
        <w:spacing w:after="0" w:line="240" w:lineRule="auto"/>
        <w:ind w:firstLine="720"/>
        <w:jc w:val="both"/>
        <w:rPr>
          <w:rFonts w:ascii="Times New Roman" w:hAnsi="Times New Roman"/>
          <w:sz w:val="24"/>
          <w:szCs w:val="20"/>
        </w:rPr>
      </w:pPr>
      <w:r w:rsidRPr="008642E3">
        <w:rPr>
          <w:rFonts w:ascii="Times New Roman" w:hAnsi="Times New Roman"/>
          <w:sz w:val="24"/>
          <w:szCs w:val="20"/>
        </w:rPr>
        <w:t>Without further remanding to the District Court, the Court of Appeals again affirmed the entry of summary judg</w:t>
      </w:r>
      <w:r w:rsidR="008C4D8D" w:rsidRPr="008642E3">
        <w:rPr>
          <w:rFonts w:ascii="Times New Roman" w:hAnsi="Times New Roman"/>
          <w:sz w:val="24"/>
          <w:szCs w:val="20"/>
        </w:rPr>
        <w:t>ment in the University’s favor</w:t>
      </w:r>
      <w:r w:rsidRPr="008642E3">
        <w:rPr>
          <w:rFonts w:ascii="Times New Roman" w:hAnsi="Times New Roman"/>
          <w:sz w:val="24"/>
          <w:szCs w:val="20"/>
        </w:rPr>
        <w:t xml:space="preserve">. This Court granted certiorari for </w:t>
      </w:r>
      <w:r w:rsidR="008E1D66" w:rsidRPr="008642E3">
        <w:rPr>
          <w:rFonts w:ascii="Times New Roman" w:hAnsi="Times New Roman"/>
          <w:sz w:val="24"/>
          <w:szCs w:val="20"/>
        </w:rPr>
        <w:t>a second time</w:t>
      </w:r>
      <w:r w:rsidRPr="008642E3">
        <w:rPr>
          <w:rFonts w:ascii="Times New Roman" w:hAnsi="Times New Roman"/>
          <w:sz w:val="24"/>
          <w:szCs w:val="20"/>
        </w:rPr>
        <w:t>, and now affirms.</w:t>
      </w:r>
      <w:bookmarkStart w:id="3" w:name="co_anchor_Ie27a6af6c68d11e698dc8b09b4f04"/>
      <w:bookmarkEnd w:id="3"/>
    </w:p>
    <w:p w14:paraId="3D3636D8" w14:textId="77777777" w:rsidR="007947B4" w:rsidRPr="008642E3" w:rsidRDefault="007947B4" w:rsidP="00765240">
      <w:pPr>
        <w:widowControl w:val="0"/>
        <w:autoSpaceDE w:val="0"/>
        <w:autoSpaceDN w:val="0"/>
        <w:adjustRightInd w:val="0"/>
        <w:spacing w:after="0" w:line="240" w:lineRule="auto"/>
        <w:ind w:firstLine="720"/>
        <w:jc w:val="both"/>
        <w:rPr>
          <w:rFonts w:ascii="Times New Roman" w:hAnsi="Times New Roman"/>
          <w:sz w:val="24"/>
          <w:szCs w:val="20"/>
        </w:rPr>
      </w:pPr>
    </w:p>
    <w:p w14:paraId="1C3DCD8C" w14:textId="016BA3BD" w:rsidR="00DD0389" w:rsidRDefault="00DD0389" w:rsidP="007947B4">
      <w:pPr>
        <w:widowControl w:val="0"/>
        <w:autoSpaceDE w:val="0"/>
        <w:autoSpaceDN w:val="0"/>
        <w:adjustRightInd w:val="0"/>
        <w:spacing w:after="0" w:line="240" w:lineRule="auto"/>
        <w:jc w:val="center"/>
        <w:rPr>
          <w:rFonts w:ascii="Times New Roman" w:hAnsi="Times New Roman"/>
          <w:b/>
          <w:sz w:val="24"/>
          <w:szCs w:val="20"/>
        </w:rPr>
      </w:pPr>
      <w:r w:rsidRPr="007947B4">
        <w:rPr>
          <w:rFonts w:ascii="Times New Roman" w:hAnsi="Times New Roman"/>
          <w:b/>
          <w:sz w:val="24"/>
          <w:szCs w:val="20"/>
        </w:rPr>
        <w:t>II</w:t>
      </w:r>
      <w:r w:rsidR="00671CBB" w:rsidRPr="007947B4">
        <w:rPr>
          <w:rFonts w:ascii="Times New Roman" w:hAnsi="Times New Roman"/>
          <w:b/>
          <w:sz w:val="24"/>
          <w:szCs w:val="20"/>
        </w:rPr>
        <w:t>. . . .</w:t>
      </w:r>
      <w:bookmarkStart w:id="4" w:name="co_anchor_B12039223800_1"/>
      <w:bookmarkStart w:id="5" w:name="co_anchor_B22039223800_1"/>
      <w:bookmarkStart w:id="6" w:name="co_anchor_Ie27a6af7c68d11e698dc8b09b4f04"/>
      <w:bookmarkEnd w:id="4"/>
      <w:bookmarkEnd w:id="5"/>
      <w:bookmarkEnd w:id="6"/>
    </w:p>
    <w:p w14:paraId="1975289C" w14:textId="77777777" w:rsidR="007947B4" w:rsidRPr="007947B4" w:rsidRDefault="007947B4" w:rsidP="007947B4">
      <w:pPr>
        <w:widowControl w:val="0"/>
        <w:autoSpaceDE w:val="0"/>
        <w:autoSpaceDN w:val="0"/>
        <w:adjustRightInd w:val="0"/>
        <w:spacing w:after="0" w:line="240" w:lineRule="auto"/>
        <w:jc w:val="center"/>
        <w:rPr>
          <w:rFonts w:ascii="Times New Roman" w:hAnsi="Times New Roman"/>
          <w:b/>
          <w:sz w:val="24"/>
          <w:szCs w:val="20"/>
        </w:rPr>
      </w:pPr>
    </w:p>
    <w:p w14:paraId="0A033487" w14:textId="6C86F22F" w:rsidR="00DD0389" w:rsidRDefault="00DD0389" w:rsidP="007947B4">
      <w:pPr>
        <w:widowControl w:val="0"/>
        <w:autoSpaceDE w:val="0"/>
        <w:autoSpaceDN w:val="0"/>
        <w:adjustRightInd w:val="0"/>
        <w:spacing w:after="0" w:line="240" w:lineRule="auto"/>
        <w:jc w:val="center"/>
        <w:rPr>
          <w:rFonts w:ascii="Times New Roman" w:hAnsi="Times New Roman"/>
          <w:b/>
          <w:sz w:val="24"/>
          <w:szCs w:val="20"/>
        </w:rPr>
      </w:pPr>
      <w:r w:rsidRPr="007947B4">
        <w:rPr>
          <w:rFonts w:ascii="Times New Roman" w:hAnsi="Times New Roman"/>
          <w:b/>
          <w:sz w:val="24"/>
          <w:szCs w:val="20"/>
        </w:rPr>
        <w:t>III</w:t>
      </w:r>
      <w:r w:rsidR="00DD7734" w:rsidRPr="007947B4">
        <w:rPr>
          <w:rFonts w:ascii="Times New Roman" w:hAnsi="Times New Roman"/>
          <w:b/>
          <w:sz w:val="24"/>
          <w:szCs w:val="20"/>
        </w:rPr>
        <w:t>. . . .</w:t>
      </w:r>
    </w:p>
    <w:p w14:paraId="1005F175" w14:textId="77777777" w:rsidR="007947B4" w:rsidRPr="007947B4" w:rsidRDefault="007947B4" w:rsidP="007947B4">
      <w:pPr>
        <w:widowControl w:val="0"/>
        <w:autoSpaceDE w:val="0"/>
        <w:autoSpaceDN w:val="0"/>
        <w:adjustRightInd w:val="0"/>
        <w:spacing w:after="0" w:line="240" w:lineRule="auto"/>
        <w:jc w:val="center"/>
        <w:rPr>
          <w:rFonts w:ascii="Times New Roman" w:hAnsi="Times New Roman"/>
          <w:b/>
          <w:sz w:val="24"/>
          <w:szCs w:val="20"/>
        </w:rPr>
      </w:pPr>
    </w:p>
    <w:p w14:paraId="71856CB1" w14:textId="4F0CDD0F" w:rsidR="00DD0389" w:rsidRDefault="00DD0389" w:rsidP="007947B4">
      <w:pPr>
        <w:widowControl w:val="0"/>
        <w:autoSpaceDE w:val="0"/>
        <w:autoSpaceDN w:val="0"/>
        <w:adjustRightInd w:val="0"/>
        <w:spacing w:after="0" w:line="240" w:lineRule="auto"/>
        <w:jc w:val="center"/>
        <w:rPr>
          <w:rFonts w:ascii="Times New Roman" w:hAnsi="Times New Roman"/>
          <w:b/>
          <w:sz w:val="24"/>
          <w:szCs w:val="20"/>
        </w:rPr>
      </w:pPr>
      <w:bookmarkStart w:id="7" w:name="co_pp_sp_708_2209_1"/>
      <w:bookmarkStart w:id="8" w:name="co_anchor_B82039223800_1"/>
      <w:bookmarkStart w:id="9" w:name="co_anchor_B92039223800_1"/>
      <w:bookmarkStart w:id="10" w:name="co_pp_sp_708_2210_1"/>
      <w:bookmarkStart w:id="11" w:name="co_anchor_Ie27a6af8c68d11e698dc8b09b4f04"/>
      <w:bookmarkEnd w:id="7"/>
      <w:bookmarkEnd w:id="8"/>
      <w:bookmarkEnd w:id="9"/>
      <w:bookmarkEnd w:id="10"/>
      <w:bookmarkEnd w:id="11"/>
      <w:r w:rsidRPr="007947B4">
        <w:rPr>
          <w:rFonts w:ascii="Times New Roman" w:hAnsi="Times New Roman"/>
          <w:b/>
          <w:sz w:val="24"/>
          <w:szCs w:val="20"/>
        </w:rPr>
        <w:t>IV</w:t>
      </w:r>
    </w:p>
    <w:p w14:paraId="3B897432" w14:textId="77777777" w:rsidR="007947B4" w:rsidRPr="007947B4" w:rsidRDefault="007947B4" w:rsidP="007947B4">
      <w:pPr>
        <w:widowControl w:val="0"/>
        <w:autoSpaceDE w:val="0"/>
        <w:autoSpaceDN w:val="0"/>
        <w:adjustRightInd w:val="0"/>
        <w:spacing w:after="0" w:line="240" w:lineRule="auto"/>
        <w:jc w:val="center"/>
        <w:rPr>
          <w:rFonts w:ascii="Times New Roman" w:hAnsi="Times New Roman"/>
          <w:b/>
          <w:sz w:val="24"/>
          <w:szCs w:val="20"/>
        </w:rPr>
      </w:pPr>
    </w:p>
    <w:p w14:paraId="26A7BACA" w14:textId="77777777" w:rsidR="00DD0389" w:rsidRPr="008642E3" w:rsidRDefault="00DD0389" w:rsidP="00360080">
      <w:pPr>
        <w:widowControl w:val="0"/>
        <w:autoSpaceDE w:val="0"/>
        <w:autoSpaceDN w:val="0"/>
        <w:adjustRightInd w:val="0"/>
        <w:spacing w:after="0" w:line="240" w:lineRule="auto"/>
        <w:ind w:firstLine="720"/>
        <w:jc w:val="both"/>
        <w:rPr>
          <w:rFonts w:ascii="Times New Roman" w:hAnsi="Times New Roman"/>
          <w:sz w:val="24"/>
          <w:szCs w:val="20"/>
        </w:rPr>
      </w:pPr>
      <w:bookmarkStart w:id="12" w:name="co_anchor_B112039223800_1"/>
      <w:bookmarkStart w:id="13" w:name="co_anchor_B122039223800_1"/>
      <w:bookmarkEnd w:id="12"/>
      <w:bookmarkEnd w:id="13"/>
      <w:r w:rsidRPr="008642E3">
        <w:rPr>
          <w:rFonts w:ascii="Times New Roman" w:hAnsi="Times New Roman"/>
          <w:sz w:val="24"/>
          <w:szCs w:val="20"/>
        </w:rPr>
        <w:t>In seeking to reverse the judgment of the Court of Appeals, petitioner makes four arguments. First, she argues that the University has not articulated its compelling interest with sufficient clarity. According to petitioner, the University must set forth more precisely the level of minority enrollment that would constitute a “critical mass.” Without a clearer sense of what the University’s ultimate goal is, petitioner argues, a reviewing court cannot assess whether the University’s admissions program is narrowly tailored to that goal.</w:t>
      </w:r>
    </w:p>
    <w:p w14:paraId="0BB58DDC" w14:textId="77777777" w:rsidR="00DD0389" w:rsidRPr="008642E3" w:rsidRDefault="00DD0389">
      <w:pPr>
        <w:widowControl w:val="0"/>
        <w:autoSpaceDE w:val="0"/>
        <w:autoSpaceDN w:val="0"/>
        <w:adjustRightInd w:val="0"/>
        <w:spacing w:after="0" w:line="240" w:lineRule="auto"/>
        <w:jc w:val="both"/>
        <w:rPr>
          <w:rFonts w:ascii="Times New Roman" w:hAnsi="Times New Roman"/>
          <w:sz w:val="24"/>
          <w:szCs w:val="20"/>
        </w:rPr>
      </w:pPr>
      <w:r w:rsidRPr="008642E3">
        <w:rPr>
          <w:rFonts w:ascii="Times New Roman" w:hAnsi="Times New Roman"/>
          <w:sz w:val="24"/>
          <w:szCs w:val="20"/>
        </w:rPr>
        <w:t> </w:t>
      </w:r>
    </w:p>
    <w:p w14:paraId="4F0FE66C" w14:textId="77777777" w:rsidR="00DD0389" w:rsidRPr="008642E3" w:rsidRDefault="00DD0389" w:rsidP="00360080">
      <w:pPr>
        <w:widowControl w:val="0"/>
        <w:autoSpaceDE w:val="0"/>
        <w:autoSpaceDN w:val="0"/>
        <w:adjustRightInd w:val="0"/>
        <w:spacing w:after="0" w:line="240" w:lineRule="auto"/>
        <w:ind w:firstLine="720"/>
        <w:jc w:val="both"/>
        <w:rPr>
          <w:rFonts w:ascii="Times New Roman" w:hAnsi="Times New Roman"/>
          <w:sz w:val="24"/>
          <w:szCs w:val="20"/>
        </w:rPr>
      </w:pPr>
      <w:bookmarkStart w:id="14" w:name="co_anchor_B132039223800_1"/>
      <w:bookmarkEnd w:id="14"/>
      <w:r w:rsidRPr="008642E3">
        <w:rPr>
          <w:rFonts w:ascii="Times New Roman" w:hAnsi="Times New Roman"/>
          <w:sz w:val="24"/>
          <w:szCs w:val="20"/>
        </w:rPr>
        <w:t>As this Court’s cases have made clear, however, the compelling interest that justifies consideration of race in college admissions is not an interest in enrolling a certain number of minority students. Rather, a university may institute a race-conscious admissions program as a means of obtaining “the educational benefits that f</w:t>
      </w:r>
      <w:r w:rsidR="008E1D66" w:rsidRPr="008642E3">
        <w:rPr>
          <w:rFonts w:ascii="Times New Roman" w:hAnsi="Times New Roman"/>
          <w:sz w:val="24"/>
          <w:szCs w:val="20"/>
        </w:rPr>
        <w:t>low from student body diversity</w:t>
      </w:r>
      <w:r w:rsidR="006F1D27">
        <w:rPr>
          <w:rFonts w:ascii="Times New Roman" w:hAnsi="Times New Roman"/>
          <w:sz w:val="24"/>
          <w:szCs w:val="20"/>
        </w:rPr>
        <w:t>.</w:t>
      </w:r>
      <w:r w:rsidRPr="008642E3">
        <w:rPr>
          <w:rFonts w:ascii="Times New Roman" w:hAnsi="Times New Roman"/>
          <w:sz w:val="24"/>
          <w:szCs w:val="20"/>
        </w:rPr>
        <w:t xml:space="preserve">” </w:t>
      </w:r>
      <w:r w:rsidR="008E1D66" w:rsidRPr="008642E3">
        <w:rPr>
          <w:rFonts w:ascii="Times New Roman" w:hAnsi="Times New Roman"/>
          <w:i/>
          <w:iCs/>
          <w:sz w:val="24"/>
          <w:szCs w:val="20"/>
        </w:rPr>
        <w:t>Fisher I</w:t>
      </w:r>
      <w:r w:rsidR="00B64453">
        <w:rPr>
          <w:rFonts w:ascii="Times New Roman" w:hAnsi="Times New Roman"/>
          <w:sz w:val="24"/>
          <w:szCs w:val="20"/>
        </w:rPr>
        <w:t xml:space="preserve">; </w:t>
      </w:r>
      <w:r w:rsidRPr="008642E3">
        <w:rPr>
          <w:rFonts w:ascii="Times New Roman" w:hAnsi="Times New Roman"/>
          <w:sz w:val="24"/>
          <w:szCs w:val="20"/>
        </w:rPr>
        <w:t xml:space="preserve">see also </w:t>
      </w:r>
      <w:r w:rsidRPr="008642E3">
        <w:rPr>
          <w:rFonts w:ascii="Times New Roman" w:hAnsi="Times New Roman"/>
          <w:i/>
          <w:iCs/>
          <w:sz w:val="24"/>
          <w:szCs w:val="20"/>
        </w:rPr>
        <w:t>Grutter</w:t>
      </w:r>
      <w:r w:rsidR="008E1D66" w:rsidRPr="008642E3">
        <w:rPr>
          <w:rFonts w:ascii="Times New Roman" w:hAnsi="Times New Roman"/>
          <w:i/>
          <w:iCs/>
          <w:sz w:val="24"/>
          <w:szCs w:val="20"/>
        </w:rPr>
        <w:t xml:space="preserve">. </w:t>
      </w:r>
      <w:r w:rsidRPr="008642E3">
        <w:rPr>
          <w:rFonts w:ascii="Times New Roman" w:hAnsi="Times New Roman"/>
          <w:sz w:val="24"/>
          <w:szCs w:val="20"/>
        </w:rPr>
        <w:t>As this Court has said, enrolling a diverse student body “promotes cross-racial understanding, helps to break down racial stereotypes, and enables students to better understa</w:t>
      </w:r>
      <w:r w:rsidR="00650FDE" w:rsidRPr="008642E3">
        <w:rPr>
          <w:rFonts w:ascii="Times New Roman" w:hAnsi="Times New Roman"/>
          <w:sz w:val="24"/>
          <w:szCs w:val="20"/>
        </w:rPr>
        <w:t>nd persons of different races</w:t>
      </w:r>
      <w:r w:rsidR="00B64453">
        <w:rPr>
          <w:rFonts w:ascii="Times New Roman" w:hAnsi="Times New Roman"/>
          <w:sz w:val="24"/>
          <w:szCs w:val="20"/>
        </w:rPr>
        <w:t>.</w:t>
      </w:r>
      <w:r w:rsidR="00650FDE" w:rsidRPr="008642E3">
        <w:rPr>
          <w:rFonts w:ascii="Times New Roman" w:hAnsi="Times New Roman"/>
          <w:sz w:val="24"/>
          <w:szCs w:val="20"/>
        </w:rPr>
        <w:t xml:space="preserve">” </w:t>
      </w:r>
      <w:r w:rsidRPr="008642E3">
        <w:rPr>
          <w:rFonts w:ascii="Times New Roman" w:hAnsi="Times New Roman"/>
          <w:sz w:val="24"/>
          <w:szCs w:val="20"/>
        </w:rPr>
        <w:t>Equally important, “student body diversity promotes learning outcomes, and better prepares students for an increasingly diverse workforce and society.”</w:t>
      </w:r>
    </w:p>
    <w:p w14:paraId="30078B3C" w14:textId="77777777" w:rsidR="00DD0389" w:rsidRPr="008642E3" w:rsidRDefault="00DD0389">
      <w:pPr>
        <w:widowControl w:val="0"/>
        <w:autoSpaceDE w:val="0"/>
        <w:autoSpaceDN w:val="0"/>
        <w:adjustRightInd w:val="0"/>
        <w:spacing w:after="0" w:line="240" w:lineRule="auto"/>
        <w:jc w:val="both"/>
        <w:rPr>
          <w:rFonts w:ascii="Times New Roman" w:hAnsi="Times New Roman"/>
          <w:sz w:val="24"/>
          <w:szCs w:val="20"/>
        </w:rPr>
      </w:pPr>
      <w:r w:rsidRPr="008642E3">
        <w:rPr>
          <w:rFonts w:ascii="Times New Roman" w:hAnsi="Times New Roman"/>
          <w:sz w:val="24"/>
          <w:szCs w:val="20"/>
        </w:rPr>
        <w:t> </w:t>
      </w:r>
    </w:p>
    <w:p w14:paraId="2C755A02" w14:textId="09CB66CB" w:rsidR="00DD0389" w:rsidRPr="008642E3" w:rsidRDefault="00DD0389" w:rsidP="00360080">
      <w:pPr>
        <w:widowControl w:val="0"/>
        <w:autoSpaceDE w:val="0"/>
        <w:autoSpaceDN w:val="0"/>
        <w:adjustRightInd w:val="0"/>
        <w:spacing w:after="0" w:line="240" w:lineRule="auto"/>
        <w:ind w:firstLine="720"/>
        <w:jc w:val="both"/>
        <w:rPr>
          <w:rFonts w:ascii="Times New Roman" w:hAnsi="Times New Roman"/>
          <w:sz w:val="24"/>
          <w:szCs w:val="20"/>
        </w:rPr>
      </w:pPr>
      <w:r w:rsidRPr="008642E3">
        <w:rPr>
          <w:rFonts w:ascii="Times New Roman" w:hAnsi="Times New Roman"/>
          <w:sz w:val="24"/>
          <w:szCs w:val="20"/>
        </w:rPr>
        <w:t>Increasing minority enrollment may be instrumental to these educational benefits, but it is not</w:t>
      </w:r>
      <w:r w:rsidR="00671CBB">
        <w:rPr>
          <w:rFonts w:ascii="Times New Roman" w:hAnsi="Times New Roman"/>
          <w:sz w:val="24"/>
          <w:szCs w:val="20"/>
        </w:rPr>
        <w:t xml:space="preserve"> . . . </w:t>
      </w:r>
      <w:r w:rsidRPr="008642E3">
        <w:rPr>
          <w:rFonts w:ascii="Times New Roman" w:hAnsi="Times New Roman"/>
          <w:sz w:val="24"/>
          <w:szCs w:val="20"/>
        </w:rPr>
        <w:t>a goal that can or should be reduced to pure numbers. Indeed, since the University is prohibited from seeking a particular number or quota of minority students, it cannot be faulted for failing to specify the particular level of minority enrollment at which it believes the educational benefits of diversity will be obtained.</w:t>
      </w:r>
    </w:p>
    <w:p w14:paraId="2D0AD712" w14:textId="77777777" w:rsidR="00DD0389" w:rsidRPr="008642E3" w:rsidRDefault="00DD0389">
      <w:pPr>
        <w:widowControl w:val="0"/>
        <w:autoSpaceDE w:val="0"/>
        <w:autoSpaceDN w:val="0"/>
        <w:adjustRightInd w:val="0"/>
        <w:spacing w:after="0" w:line="240" w:lineRule="auto"/>
        <w:jc w:val="both"/>
        <w:rPr>
          <w:rFonts w:ascii="Times New Roman" w:hAnsi="Times New Roman"/>
          <w:sz w:val="24"/>
          <w:szCs w:val="20"/>
        </w:rPr>
      </w:pPr>
      <w:r w:rsidRPr="008642E3">
        <w:rPr>
          <w:rFonts w:ascii="Times New Roman" w:hAnsi="Times New Roman"/>
          <w:sz w:val="24"/>
          <w:szCs w:val="20"/>
        </w:rPr>
        <w:t> </w:t>
      </w:r>
    </w:p>
    <w:p w14:paraId="13E986F0" w14:textId="77777777" w:rsidR="00DD0389" w:rsidRPr="008642E3" w:rsidRDefault="00DD0389" w:rsidP="00360080">
      <w:pPr>
        <w:widowControl w:val="0"/>
        <w:autoSpaceDE w:val="0"/>
        <w:autoSpaceDN w:val="0"/>
        <w:adjustRightInd w:val="0"/>
        <w:spacing w:after="0" w:line="240" w:lineRule="auto"/>
        <w:ind w:firstLine="720"/>
        <w:jc w:val="both"/>
        <w:rPr>
          <w:rFonts w:ascii="Times New Roman" w:hAnsi="Times New Roman"/>
          <w:sz w:val="24"/>
          <w:szCs w:val="20"/>
        </w:rPr>
      </w:pPr>
      <w:bookmarkStart w:id="15" w:name="co_pp_sp_708_2211_1"/>
      <w:bookmarkStart w:id="16" w:name="co_anchor_B142039223800_1"/>
      <w:bookmarkEnd w:id="15"/>
      <w:bookmarkEnd w:id="16"/>
      <w:r w:rsidRPr="008642E3">
        <w:rPr>
          <w:rFonts w:ascii="Times New Roman" w:hAnsi="Times New Roman"/>
          <w:sz w:val="24"/>
          <w:szCs w:val="20"/>
        </w:rPr>
        <w:t xml:space="preserve">On the other hand, asserting an interest in the educational benefits of diversity writ large is </w:t>
      </w:r>
      <w:r w:rsidRPr="008642E3">
        <w:rPr>
          <w:rFonts w:ascii="Times New Roman" w:hAnsi="Times New Roman"/>
          <w:sz w:val="24"/>
          <w:szCs w:val="20"/>
        </w:rPr>
        <w:lastRenderedPageBreak/>
        <w:t>insufficient. A university’s goals cannot be elusory or amorphous—they must be sufficiently measurable to permit judicial scrutiny of the policies adopted to reach them.</w:t>
      </w:r>
    </w:p>
    <w:p w14:paraId="00EA5DEA" w14:textId="77777777" w:rsidR="00DD0389" w:rsidRPr="008642E3" w:rsidRDefault="00DD0389">
      <w:pPr>
        <w:widowControl w:val="0"/>
        <w:autoSpaceDE w:val="0"/>
        <w:autoSpaceDN w:val="0"/>
        <w:adjustRightInd w:val="0"/>
        <w:spacing w:after="0" w:line="240" w:lineRule="auto"/>
        <w:jc w:val="both"/>
        <w:rPr>
          <w:rFonts w:ascii="Times New Roman" w:hAnsi="Times New Roman"/>
          <w:sz w:val="24"/>
          <w:szCs w:val="20"/>
        </w:rPr>
      </w:pPr>
      <w:r w:rsidRPr="008642E3">
        <w:rPr>
          <w:rFonts w:ascii="Times New Roman" w:hAnsi="Times New Roman"/>
          <w:sz w:val="24"/>
          <w:szCs w:val="20"/>
        </w:rPr>
        <w:t> </w:t>
      </w:r>
    </w:p>
    <w:p w14:paraId="3A217A61" w14:textId="77777777" w:rsidR="00DD0389" w:rsidRPr="008642E3" w:rsidRDefault="00DD0389" w:rsidP="00360080">
      <w:pPr>
        <w:widowControl w:val="0"/>
        <w:autoSpaceDE w:val="0"/>
        <w:autoSpaceDN w:val="0"/>
        <w:adjustRightInd w:val="0"/>
        <w:spacing w:after="0" w:line="240" w:lineRule="auto"/>
        <w:ind w:firstLine="720"/>
        <w:jc w:val="both"/>
        <w:rPr>
          <w:rFonts w:ascii="Times New Roman" w:hAnsi="Times New Roman"/>
          <w:sz w:val="24"/>
          <w:szCs w:val="20"/>
        </w:rPr>
      </w:pPr>
      <w:bookmarkStart w:id="17" w:name="co_anchor_B152039223800_1"/>
      <w:bookmarkEnd w:id="17"/>
      <w:r w:rsidRPr="008642E3">
        <w:rPr>
          <w:rFonts w:ascii="Times New Roman" w:hAnsi="Times New Roman"/>
          <w:sz w:val="24"/>
          <w:szCs w:val="20"/>
        </w:rPr>
        <w:t>The record reveals that in first setting forth its current admissions policy, the University articulated concrete and precise goals. On the first page of its 2004 “Proposal to Consider Race and Ethnicity in Admissions,” the University identifies the educational values it seeks to realize through its admissions process: the destruction of stereotypes, the “ ‘</w:t>
      </w:r>
      <w:proofErr w:type="spellStart"/>
      <w:r w:rsidRPr="008642E3">
        <w:rPr>
          <w:rFonts w:ascii="Times New Roman" w:hAnsi="Times New Roman"/>
          <w:sz w:val="24"/>
          <w:szCs w:val="20"/>
        </w:rPr>
        <w:t>promot</w:t>
      </w:r>
      <w:proofErr w:type="spellEnd"/>
      <w:r w:rsidRPr="008642E3">
        <w:rPr>
          <w:rFonts w:ascii="Times New Roman" w:hAnsi="Times New Roman"/>
          <w:sz w:val="24"/>
          <w:szCs w:val="20"/>
        </w:rPr>
        <w:t>[ion of] cross-racial understanding,’ ” the preparation of a student body “ ‘for an increasingly diverse workforce and society,’ ” and the “ ‘</w:t>
      </w:r>
      <w:proofErr w:type="spellStart"/>
      <w:r w:rsidRPr="008642E3">
        <w:rPr>
          <w:rFonts w:ascii="Times New Roman" w:hAnsi="Times New Roman"/>
          <w:sz w:val="24"/>
          <w:szCs w:val="20"/>
        </w:rPr>
        <w:t>cultivat</w:t>
      </w:r>
      <w:proofErr w:type="spellEnd"/>
      <w:r w:rsidRPr="008642E3">
        <w:rPr>
          <w:rFonts w:ascii="Times New Roman" w:hAnsi="Times New Roman"/>
          <w:sz w:val="24"/>
          <w:szCs w:val="20"/>
        </w:rPr>
        <w:t>[ion of] a set of leaders with legitimacy in the eyes of the citizenry.’ ” Later in the proposal, the University explains that it strives to provide an “academic environment” that offers a “robust exchange of ideas, exposure to differing cultures, preparation for the challenges of an increasingly diverse workforce, and acquisition of competencies required of future leaders.” All of these objectives, as a general matter, mirror the “compelling interest” this Court has approved in its prior cases.</w:t>
      </w:r>
    </w:p>
    <w:p w14:paraId="3160A0B3" w14:textId="77777777" w:rsidR="00DD0389" w:rsidRPr="008642E3" w:rsidRDefault="00DD0389">
      <w:pPr>
        <w:widowControl w:val="0"/>
        <w:autoSpaceDE w:val="0"/>
        <w:autoSpaceDN w:val="0"/>
        <w:adjustRightInd w:val="0"/>
        <w:spacing w:after="0" w:line="240" w:lineRule="auto"/>
        <w:jc w:val="both"/>
        <w:rPr>
          <w:rFonts w:ascii="Times New Roman" w:hAnsi="Times New Roman"/>
          <w:sz w:val="24"/>
          <w:szCs w:val="20"/>
        </w:rPr>
      </w:pPr>
      <w:r w:rsidRPr="008642E3">
        <w:rPr>
          <w:rFonts w:ascii="Times New Roman" w:hAnsi="Times New Roman"/>
          <w:sz w:val="24"/>
          <w:szCs w:val="20"/>
        </w:rPr>
        <w:t> </w:t>
      </w:r>
    </w:p>
    <w:p w14:paraId="6301C094" w14:textId="5B3338FC" w:rsidR="00DD0389" w:rsidRPr="008642E3" w:rsidRDefault="00DD0389" w:rsidP="00360080">
      <w:pPr>
        <w:widowControl w:val="0"/>
        <w:autoSpaceDE w:val="0"/>
        <w:autoSpaceDN w:val="0"/>
        <w:adjustRightInd w:val="0"/>
        <w:spacing w:after="0" w:line="240" w:lineRule="auto"/>
        <w:ind w:firstLine="720"/>
        <w:jc w:val="both"/>
        <w:rPr>
          <w:rFonts w:ascii="Times New Roman" w:hAnsi="Times New Roman"/>
          <w:sz w:val="24"/>
          <w:szCs w:val="20"/>
        </w:rPr>
      </w:pPr>
      <w:r w:rsidRPr="008642E3">
        <w:rPr>
          <w:rFonts w:ascii="Times New Roman" w:hAnsi="Times New Roman"/>
          <w:sz w:val="24"/>
          <w:szCs w:val="20"/>
        </w:rPr>
        <w:t xml:space="preserve">The University has provided in addition a “reasoned, principled explanation” for its decision to pursue these goals. </w:t>
      </w:r>
      <w:r w:rsidRPr="008642E3">
        <w:rPr>
          <w:rFonts w:ascii="Times New Roman" w:hAnsi="Times New Roman"/>
          <w:i/>
          <w:iCs/>
          <w:sz w:val="24"/>
          <w:szCs w:val="20"/>
        </w:rPr>
        <w:t>Fisher I</w:t>
      </w:r>
      <w:r w:rsidR="00650FDE" w:rsidRPr="008642E3">
        <w:rPr>
          <w:rFonts w:ascii="Times New Roman" w:hAnsi="Times New Roman"/>
          <w:i/>
          <w:iCs/>
          <w:sz w:val="24"/>
          <w:szCs w:val="20"/>
        </w:rPr>
        <w:t xml:space="preserve">. </w:t>
      </w:r>
      <w:r w:rsidRPr="008642E3">
        <w:rPr>
          <w:rFonts w:ascii="Times New Roman" w:hAnsi="Times New Roman"/>
          <w:sz w:val="24"/>
          <w:szCs w:val="20"/>
        </w:rPr>
        <w:t>The University’s 39–page proposal was written following a year-long study, which concluded that “[t]he use of race-neutral policies and programs ha[d] not been successful” in “</w:t>
      </w:r>
      <w:proofErr w:type="spellStart"/>
      <w:r w:rsidRPr="008642E3">
        <w:rPr>
          <w:rFonts w:ascii="Times New Roman" w:hAnsi="Times New Roman"/>
          <w:sz w:val="24"/>
          <w:szCs w:val="20"/>
        </w:rPr>
        <w:t>provid</w:t>
      </w:r>
      <w:proofErr w:type="spellEnd"/>
      <w:r w:rsidRPr="008642E3">
        <w:rPr>
          <w:rFonts w:ascii="Times New Roman" w:hAnsi="Times New Roman"/>
          <w:sz w:val="24"/>
          <w:szCs w:val="20"/>
        </w:rPr>
        <w:t xml:space="preserve">[ing] an educational setting that fosters cross-racial understanding, </w:t>
      </w:r>
      <w:proofErr w:type="spellStart"/>
      <w:r w:rsidRPr="008642E3">
        <w:rPr>
          <w:rFonts w:ascii="Times New Roman" w:hAnsi="Times New Roman"/>
          <w:sz w:val="24"/>
          <w:szCs w:val="20"/>
        </w:rPr>
        <w:t>provid</w:t>
      </w:r>
      <w:proofErr w:type="spellEnd"/>
      <w:r w:rsidRPr="008642E3">
        <w:rPr>
          <w:rFonts w:ascii="Times New Roman" w:hAnsi="Times New Roman"/>
          <w:sz w:val="24"/>
          <w:szCs w:val="20"/>
        </w:rPr>
        <w:t xml:space="preserve">[ing] enlightened discussion and learning, [or] </w:t>
      </w:r>
      <w:proofErr w:type="spellStart"/>
      <w:r w:rsidRPr="008642E3">
        <w:rPr>
          <w:rFonts w:ascii="Times New Roman" w:hAnsi="Times New Roman"/>
          <w:sz w:val="24"/>
          <w:szCs w:val="20"/>
        </w:rPr>
        <w:t>prepar</w:t>
      </w:r>
      <w:proofErr w:type="spellEnd"/>
      <w:r w:rsidRPr="008642E3">
        <w:rPr>
          <w:rFonts w:ascii="Times New Roman" w:hAnsi="Times New Roman"/>
          <w:sz w:val="24"/>
          <w:szCs w:val="20"/>
        </w:rPr>
        <w:t>[ing] students to function in an increasingly diverse workforce and society.”</w:t>
      </w:r>
      <w:r w:rsidR="00BF0679">
        <w:rPr>
          <w:rFonts w:ascii="Times New Roman" w:hAnsi="Times New Roman"/>
          <w:sz w:val="24"/>
          <w:szCs w:val="20"/>
        </w:rPr>
        <w:t xml:space="preserve"> . . . </w:t>
      </w:r>
    </w:p>
    <w:p w14:paraId="5545C787" w14:textId="77777777" w:rsidR="00DD0389" w:rsidRPr="008642E3" w:rsidRDefault="00DD0389">
      <w:pPr>
        <w:widowControl w:val="0"/>
        <w:autoSpaceDE w:val="0"/>
        <w:autoSpaceDN w:val="0"/>
        <w:adjustRightInd w:val="0"/>
        <w:spacing w:after="0" w:line="240" w:lineRule="auto"/>
        <w:jc w:val="both"/>
        <w:rPr>
          <w:rFonts w:ascii="Times New Roman" w:hAnsi="Times New Roman"/>
          <w:sz w:val="24"/>
          <w:szCs w:val="20"/>
        </w:rPr>
      </w:pPr>
      <w:r w:rsidRPr="008642E3">
        <w:rPr>
          <w:rFonts w:ascii="Times New Roman" w:hAnsi="Times New Roman"/>
          <w:sz w:val="24"/>
          <w:szCs w:val="20"/>
        </w:rPr>
        <w:t> </w:t>
      </w:r>
    </w:p>
    <w:p w14:paraId="7104771B" w14:textId="571E0113" w:rsidR="00DD0389" w:rsidRPr="008642E3" w:rsidRDefault="00DD0389" w:rsidP="00360080">
      <w:pPr>
        <w:widowControl w:val="0"/>
        <w:autoSpaceDE w:val="0"/>
        <w:autoSpaceDN w:val="0"/>
        <w:adjustRightInd w:val="0"/>
        <w:spacing w:after="0" w:line="240" w:lineRule="auto"/>
        <w:ind w:firstLine="720"/>
        <w:jc w:val="both"/>
        <w:rPr>
          <w:rFonts w:ascii="Times New Roman" w:hAnsi="Times New Roman"/>
          <w:sz w:val="24"/>
          <w:szCs w:val="20"/>
        </w:rPr>
      </w:pPr>
      <w:bookmarkStart w:id="18" w:name="co_anchor_B162039223800_1"/>
      <w:bookmarkStart w:id="19" w:name="co_anchor_B172039223800_1"/>
      <w:bookmarkEnd w:id="18"/>
      <w:bookmarkEnd w:id="19"/>
      <w:r w:rsidRPr="008642E3">
        <w:rPr>
          <w:rFonts w:ascii="Times New Roman" w:hAnsi="Times New Roman"/>
          <w:sz w:val="24"/>
          <w:szCs w:val="20"/>
        </w:rPr>
        <w:t>Second, petitioner argues that the University has no need to consider race because it had already “achieved critical mass” by 2003 using the Top Ten Percent Plan and race-neutral holistic review.</w:t>
      </w:r>
      <w:r w:rsidR="00B64453">
        <w:rPr>
          <w:rFonts w:ascii="Times New Roman" w:hAnsi="Times New Roman"/>
          <w:sz w:val="24"/>
          <w:szCs w:val="20"/>
        </w:rPr>
        <w:t xml:space="preserve"> </w:t>
      </w:r>
      <w:r w:rsidRPr="008642E3">
        <w:rPr>
          <w:rFonts w:ascii="Times New Roman" w:hAnsi="Times New Roman"/>
          <w:sz w:val="24"/>
          <w:szCs w:val="20"/>
        </w:rPr>
        <w:t>Petitioner is correct that a university bears a heavy burden in showing that it had not obtained the educational benefits of diversity before it turned to a race-conscious plan. The record reveals, however, that, at the time of petitioner’s application, the University could not be faulted on this score. Before changing its policy the University conducted “months of study and deliberation, including retreats, interviews, [and] review of data,” and concluded that “[t]he use of race-neutral policies and programs ha[d] not been successful in achieving” sufficient racial diversity at the University</w:t>
      </w:r>
      <w:r w:rsidR="00BF0679">
        <w:rPr>
          <w:rFonts w:ascii="Times New Roman" w:hAnsi="Times New Roman"/>
          <w:sz w:val="24"/>
          <w:szCs w:val="20"/>
        </w:rPr>
        <w:t>. . . .</w:t>
      </w:r>
    </w:p>
    <w:p w14:paraId="535A4AAE" w14:textId="77777777" w:rsidR="00DD0389" w:rsidRPr="008642E3" w:rsidRDefault="00DD0389">
      <w:pPr>
        <w:widowControl w:val="0"/>
        <w:autoSpaceDE w:val="0"/>
        <w:autoSpaceDN w:val="0"/>
        <w:adjustRightInd w:val="0"/>
        <w:spacing w:after="0" w:line="240" w:lineRule="auto"/>
        <w:jc w:val="both"/>
        <w:rPr>
          <w:rFonts w:ascii="Times New Roman" w:hAnsi="Times New Roman"/>
          <w:sz w:val="24"/>
          <w:szCs w:val="20"/>
        </w:rPr>
      </w:pPr>
      <w:r w:rsidRPr="008642E3">
        <w:rPr>
          <w:rFonts w:ascii="Times New Roman" w:hAnsi="Times New Roman"/>
          <w:sz w:val="24"/>
          <w:szCs w:val="20"/>
        </w:rPr>
        <w:t> </w:t>
      </w:r>
    </w:p>
    <w:p w14:paraId="49EFE96D" w14:textId="77777777" w:rsidR="00DD0389" w:rsidRPr="008642E3" w:rsidRDefault="00B64453" w:rsidP="00360080">
      <w:pPr>
        <w:widowControl w:val="0"/>
        <w:autoSpaceDE w:val="0"/>
        <w:autoSpaceDN w:val="0"/>
        <w:adjustRightInd w:val="0"/>
        <w:spacing w:after="0" w:line="240" w:lineRule="auto"/>
        <w:ind w:firstLine="720"/>
        <w:jc w:val="both"/>
        <w:rPr>
          <w:rFonts w:ascii="Times New Roman" w:hAnsi="Times New Roman"/>
          <w:sz w:val="24"/>
          <w:szCs w:val="20"/>
        </w:rPr>
      </w:pPr>
      <w:r>
        <w:rPr>
          <w:rFonts w:ascii="Times New Roman" w:hAnsi="Times New Roman"/>
          <w:sz w:val="24"/>
          <w:szCs w:val="20"/>
        </w:rPr>
        <w:t>[T]</w:t>
      </w:r>
      <w:r w:rsidR="00DD0389" w:rsidRPr="008642E3">
        <w:rPr>
          <w:rFonts w:ascii="Times New Roman" w:hAnsi="Times New Roman"/>
          <w:sz w:val="24"/>
          <w:szCs w:val="20"/>
        </w:rPr>
        <w:t xml:space="preserve">he demographic data the University has submitted show consistent stagnation in terms of the percentage of minority students enrolling at the University from 1996 to 2002. In 1996, for example, 266 African–American freshmen enrolled, a total that constituted 4.1 percent of the incoming class. In 2003, the year </w:t>
      </w:r>
      <w:r w:rsidR="00DD0389" w:rsidRPr="008642E3">
        <w:rPr>
          <w:rFonts w:ascii="Times New Roman" w:hAnsi="Times New Roman"/>
          <w:i/>
          <w:iCs/>
          <w:sz w:val="24"/>
          <w:szCs w:val="20"/>
        </w:rPr>
        <w:t>Grutter</w:t>
      </w:r>
      <w:r w:rsidR="00DD0389" w:rsidRPr="008642E3">
        <w:rPr>
          <w:rFonts w:ascii="Times New Roman" w:hAnsi="Times New Roman"/>
          <w:sz w:val="24"/>
          <w:szCs w:val="20"/>
        </w:rPr>
        <w:t xml:space="preserve"> was decided, 267 African–American students enrolled—again, 4.1 percent of the incoming class. The numbers for Hispanic and Asian–American students tell a similar story. Although demographics alone are by no means dispositive, they do have some value as a gauge of the University’s ability to enroll students who can offer underrepresented perspectives.</w:t>
      </w:r>
    </w:p>
    <w:p w14:paraId="13DAC9E0" w14:textId="77777777" w:rsidR="00DD0389" w:rsidRPr="008642E3" w:rsidRDefault="00DD0389">
      <w:pPr>
        <w:widowControl w:val="0"/>
        <w:autoSpaceDE w:val="0"/>
        <w:autoSpaceDN w:val="0"/>
        <w:adjustRightInd w:val="0"/>
        <w:spacing w:after="0" w:line="240" w:lineRule="auto"/>
        <w:jc w:val="both"/>
        <w:rPr>
          <w:rFonts w:ascii="Times New Roman" w:hAnsi="Times New Roman"/>
          <w:sz w:val="24"/>
          <w:szCs w:val="20"/>
        </w:rPr>
      </w:pPr>
      <w:r w:rsidRPr="008642E3">
        <w:rPr>
          <w:rFonts w:ascii="Times New Roman" w:hAnsi="Times New Roman"/>
          <w:sz w:val="24"/>
          <w:szCs w:val="20"/>
        </w:rPr>
        <w:t> </w:t>
      </w:r>
    </w:p>
    <w:p w14:paraId="4B7F5098" w14:textId="77777777" w:rsidR="00DD0389" w:rsidRPr="008642E3" w:rsidRDefault="00DD0389" w:rsidP="00360080">
      <w:pPr>
        <w:widowControl w:val="0"/>
        <w:autoSpaceDE w:val="0"/>
        <w:autoSpaceDN w:val="0"/>
        <w:adjustRightInd w:val="0"/>
        <w:spacing w:after="0" w:line="240" w:lineRule="auto"/>
        <w:ind w:firstLine="720"/>
        <w:jc w:val="both"/>
        <w:rPr>
          <w:rFonts w:ascii="Times New Roman" w:hAnsi="Times New Roman"/>
          <w:sz w:val="24"/>
          <w:szCs w:val="20"/>
        </w:rPr>
      </w:pPr>
      <w:r w:rsidRPr="008642E3">
        <w:rPr>
          <w:rFonts w:ascii="Times New Roman" w:hAnsi="Times New Roman"/>
          <w:sz w:val="24"/>
          <w:szCs w:val="20"/>
        </w:rPr>
        <w:t xml:space="preserve">In addition to this broad demographic data, the University put forward evidence that minority students admitted under the </w:t>
      </w:r>
      <w:r w:rsidRPr="008642E3">
        <w:rPr>
          <w:rFonts w:ascii="Times New Roman" w:hAnsi="Times New Roman"/>
          <w:i/>
          <w:iCs/>
          <w:sz w:val="24"/>
          <w:szCs w:val="20"/>
        </w:rPr>
        <w:t>Hopwood</w:t>
      </w:r>
      <w:r w:rsidRPr="008642E3">
        <w:rPr>
          <w:rFonts w:ascii="Times New Roman" w:hAnsi="Times New Roman"/>
          <w:sz w:val="24"/>
          <w:szCs w:val="20"/>
        </w:rPr>
        <w:t xml:space="preserve"> regime experienced feelings of loneliness and isolation.</w:t>
      </w:r>
    </w:p>
    <w:p w14:paraId="6E43B63A" w14:textId="77777777" w:rsidR="00DD0389" w:rsidRPr="008642E3" w:rsidRDefault="00DD0389">
      <w:pPr>
        <w:widowControl w:val="0"/>
        <w:autoSpaceDE w:val="0"/>
        <w:autoSpaceDN w:val="0"/>
        <w:adjustRightInd w:val="0"/>
        <w:spacing w:after="0" w:line="240" w:lineRule="auto"/>
        <w:jc w:val="both"/>
        <w:rPr>
          <w:rFonts w:ascii="Times New Roman" w:hAnsi="Times New Roman"/>
          <w:sz w:val="24"/>
          <w:szCs w:val="20"/>
        </w:rPr>
      </w:pPr>
      <w:r w:rsidRPr="008642E3">
        <w:rPr>
          <w:rFonts w:ascii="Times New Roman" w:hAnsi="Times New Roman"/>
          <w:sz w:val="24"/>
          <w:szCs w:val="20"/>
        </w:rPr>
        <w:t> </w:t>
      </w:r>
    </w:p>
    <w:p w14:paraId="36B2B533" w14:textId="77777777" w:rsidR="00DD0389" w:rsidRPr="008642E3" w:rsidRDefault="00DD0389" w:rsidP="00360080">
      <w:pPr>
        <w:widowControl w:val="0"/>
        <w:autoSpaceDE w:val="0"/>
        <w:autoSpaceDN w:val="0"/>
        <w:adjustRightInd w:val="0"/>
        <w:spacing w:after="0" w:line="240" w:lineRule="auto"/>
        <w:ind w:firstLine="720"/>
        <w:jc w:val="both"/>
        <w:rPr>
          <w:rFonts w:ascii="Times New Roman" w:hAnsi="Times New Roman"/>
          <w:sz w:val="24"/>
          <w:szCs w:val="20"/>
        </w:rPr>
      </w:pPr>
      <w:r w:rsidRPr="008642E3">
        <w:rPr>
          <w:rFonts w:ascii="Times New Roman" w:hAnsi="Times New Roman"/>
          <w:sz w:val="24"/>
          <w:szCs w:val="20"/>
        </w:rPr>
        <w:t xml:space="preserve">This anecdotal evidence is, in turn, bolstered by further, more nuanced quantitative data. </w:t>
      </w:r>
      <w:r w:rsidRPr="008642E3">
        <w:rPr>
          <w:rFonts w:ascii="Times New Roman" w:hAnsi="Times New Roman"/>
          <w:sz w:val="24"/>
          <w:szCs w:val="20"/>
        </w:rPr>
        <w:lastRenderedPageBreak/>
        <w:t>In 2002, 52 percent of undergraduate classes with at least five students had no African–American students enrolled in them, and 27 percent had only one African–American student. In other words, only 21 percent of undergraduate classes with five or more students in them had more than one African–American student enrolled. Twelve percent of these classes had no Hispanic students, as compared to 10 percent in 1996.</w:t>
      </w:r>
      <w:r w:rsidR="00BF0679">
        <w:rPr>
          <w:rFonts w:ascii="Times New Roman" w:hAnsi="Times New Roman"/>
          <w:sz w:val="24"/>
          <w:szCs w:val="20"/>
        </w:rPr>
        <w:t xml:space="preserve"> . . .</w:t>
      </w:r>
    </w:p>
    <w:p w14:paraId="00DE2F30" w14:textId="77777777" w:rsidR="00DD0389" w:rsidRPr="008642E3" w:rsidRDefault="00DD0389">
      <w:pPr>
        <w:widowControl w:val="0"/>
        <w:autoSpaceDE w:val="0"/>
        <w:autoSpaceDN w:val="0"/>
        <w:adjustRightInd w:val="0"/>
        <w:spacing w:after="0" w:line="240" w:lineRule="auto"/>
        <w:jc w:val="both"/>
        <w:rPr>
          <w:rFonts w:ascii="Times New Roman" w:hAnsi="Times New Roman"/>
          <w:sz w:val="24"/>
          <w:szCs w:val="20"/>
        </w:rPr>
      </w:pPr>
      <w:r w:rsidRPr="008642E3">
        <w:rPr>
          <w:rFonts w:ascii="Times New Roman" w:hAnsi="Times New Roman"/>
          <w:sz w:val="24"/>
          <w:szCs w:val="20"/>
        </w:rPr>
        <w:t> </w:t>
      </w:r>
    </w:p>
    <w:p w14:paraId="66C4E6C1" w14:textId="77777777" w:rsidR="00DD0389" w:rsidRPr="008642E3" w:rsidRDefault="00DD0389" w:rsidP="00360080">
      <w:pPr>
        <w:widowControl w:val="0"/>
        <w:autoSpaceDE w:val="0"/>
        <w:autoSpaceDN w:val="0"/>
        <w:adjustRightInd w:val="0"/>
        <w:spacing w:after="0" w:line="240" w:lineRule="auto"/>
        <w:ind w:firstLine="720"/>
        <w:jc w:val="both"/>
        <w:rPr>
          <w:rFonts w:ascii="Times New Roman" w:hAnsi="Times New Roman"/>
          <w:sz w:val="24"/>
          <w:szCs w:val="20"/>
        </w:rPr>
      </w:pPr>
      <w:bookmarkStart w:id="20" w:name="co_anchor_B182039223800_1"/>
      <w:bookmarkEnd w:id="20"/>
      <w:r w:rsidRPr="008642E3">
        <w:rPr>
          <w:rFonts w:ascii="Times New Roman" w:hAnsi="Times New Roman"/>
          <w:sz w:val="24"/>
          <w:szCs w:val="20"/>
        </w:rPr>
        <w:t xml:space="preserve">Third, petitioner argues that considering race was not necessary because such consideration has had only a </w:t>
      </w:r>
      <w:proofErr w:type="gramStart"/>
      <w:r w:rsidRPr="008642E3">
        <w:rPr>
          <w:rFonts w:ascii="Times New Roman" w:hAnsi="Times New Roman"/>
          <w:sz w:val="24"/>
          <w:szCs w:val="20"/>
        </w:rPr>
        <w:t>“ ‘minimal</w:t>
      </w:r>
      <w:proofErr w:type="gramEnd"/>
      <w:r w:rsidRPr="008642E3">
        <w:rPr>
          <w:rFonts w:ascii="Times New Roman" w:hAnsi="Times New Roman"/>
          <w:sz w:val="24"/>
          <w:szCs w:val="20"/>
        </w:rPr>
        <w:t xml:space="preserve"> impact’ in advancing the [University’s] compelling interest.” Again, the record does not support this assertion. </w:t>
      </w:r>
      <w:r w:rsidR="00B64453">
        <w:rPr>
          <w:rFonts w:ascii="Times New Roman" w:hAnsi="Times New Roman"/>
          <w:sz w:val="24"/>
          <w:szCs w:val="20"/>
        </w:rPr>
        <w:t>[I]</w:t>
      </w:r>
      <w:r w:rsidRPr="008642E3">
        <w:rPr>
          <w:rFonts w:ascii="Times New Roman" w:hAnsi="Times New Roman"/>
          <w:sz w:val="24"/>
          <w:szCs w:val="20"/>
        </w:rPr>
        <w:t>t is not a failure of narrow tailoring for the impact of racial consideration to be minor. The fact that race consciousness played a role in only a small portion of admissions decisions should be a hallmark of narrow tailoring, not evidence of unconstitutionality.</w:t>
      </w:r>
    </w:p>
    <w:p w14:paraId="2AD55B4C" w14:textId="77777777" w:rsidR="00DD0389" w:rsidRPr="008642E3" w:rsidRDefault="00DD0389">
      <w:pPr>
        <w:widowControl w:val="0"/>
        <w:autoSpaceDE w:val="0"/>
        <w:autoSpaceDN w:val="0"/>
        <w:adjustRightInd w:val="0"/>
        <w:spacing w:after="0" w:line="240" w:lineRule="auto"/>
        <w:jc w:val="both"/>
        <w:rPr>
          <w:rFonts w:ascii="Times New Roman" w:hAnsi="Times New Roman"/>
          <w:sz w:val="24"/>
          <w:szCs w:val="20"/>
        </w:rPr>
      </w:pPr>
      <w:r w:rsidRPr="008642E3">
        <w:rPr>
          <w:rFonts w:ascii="Times New Roman" w:hAnsi="Times New Roman"/>
          <w:sz w:val="24"/>
          <w:szCs w:val="20"/>
        </w:rPr>
        <w:t> </w:t>
      </w:r>
    </w:p>
    <w:p w14:paraId="561C481A" w14:textId="77777777" w:rsidR="00DD0389" w:rsidRPr="008642E3" w:rsidRDefault="00DD0389" w:rsidP="00360080">
      <w:pPr>
        <w:widowControl w:val="0"/>
        <w:autoSpaceDE w:val="0"/>
        <w:autoSpaceDN w:val="0"/>
        <w:adjustRightInd w:val="0"/>
        <w:spacing w:after="0" w:line="240" w:lineRule="auto"/>
        <w:ind w:firstLine="720"/>
        <w:jc w:val="both"/>
        <w:rPr>
          <w:rFonts w:ascii="Times New Roman" w:hAnsi="Times New Roman"/>
          <w:sz w:val="24"/>
          <w:szCs w:val="20"/>
        </w:rPr>
      </w:pPr>
      <w:bookmarkStart w:id="21" w:name="co_anchor_B202039223800_1"/>
      <w:bookmarkEnd w:id="21"/>
      <w:r w:rsidRPr="008642E3">
        <w:rPr>
          <w:rFonts w:ascii="Times New Roman" w:hAnsi="Times New Roman"/>
          <w:sz w:val="24"/>
          <w:szCs w:val="20"/>
        </w:rPr>
        <w:t>Petitioner’s final argument is that “there are numerous other available race-neutral means of achieving” the University’s compelling interest. A review of the record reveals, however, that, at the time of petitioner’s application, none of her proposed alternatives was a workable means for the University to attain the benefits of diversity it sought. For example, petitioner suggests</w:t>
      </w:r>
      <w:bookmarkStart w:id="22" w:name="co_pp_sp_708_2213_1"/>
      <w:bookmarkEnd w:id="22"/>
      <w:r w:rsidRPr="008642E3">
        <w:rPr>
          <w:rFonts w:ascii="Times New Roman" w:hAnsi="Times New Roman"/>
          <w:sz w:val="24"/>
          <w:szCs w:val="20"/>
        </w:rPr>
        <w:t xml:space="preserve"> that the University could intensify its outreach efforts to African–American and Hispanic applicants. But the University submitted extensive evidence of the many ways in which it already had intensified its outreach efforts to those students. The University has created three new scholarship programs, opened new regional admissions centers, increased its recruitment budget by half-a-million dollars, and organized over 1,000 recruitment events. Perhaps more significantly, in the wake of </w:t>
      </w:r>
      <w:r w:rsidRPr="008642E3">
        <w:rPr>
          <w:rFonts w:ascii="Times New Roman" w:hAnsi="Times New Roman"/>
          <w:i/>
          <w:iCs/>
          <w:sz w:val="24"/>
          <w:szCs w:val="20"/>
        </w:rPr>
        <w:t>Hopwood,</w:t>
      </w:r>
      <w:r w:rsidRPr="008642E3">
        <w:rPr>
          <w:rFonts w:ascii="Times New Roman" w:hAnsi="Times New Roman"/>
          <w:sz w:val="24"/>
          <w:szCs w:val="20"/>
        </w:rPr>
        <w:t xml:space="preserve"> the University spent seven years attempting to achieve its compelling interest using race-neutral holistic review. None of these efforts succeeded, and petitioner fails to offer any meaningful way in which the University could have improved upon them at the time of her application.</w:t>
      </w:r>
    </w:p>
    <w:p w14:paraId="1606F0F4" w14:textId="77777777" w:rsidR="00DD0389" w:rsidRPr="008642E3" w:rsidRDefault="00DD0389">
      <w:pPr>
        <w:widowControl w:val="0"/>
        <w:autoSpaceDE w:val="0"/>
        <w:autoSpaceDN w:val="0"/>
        <w:adjustRightInd w:val="0"/>
        <w:spacing w:after="0" w:line="240" w:lineRule="auto"/>
        <w:jc w:val="both"/>
        <w:rPr>
          <w:rFonts w:ascii="Times New Roman" w:hAnsi="Times New Roman"/>
          <w:sz w:val="24"/>
          <w:szCs w:val="20"/>
        </w:rPr>
      </w:pPr>
      <w:r w:rsidRPr="008642E3">
        <w:rPr>
          <w:rFonts w:ascii="Times New Roman" w:hAnsi="Times New Roman"/>
          <w:sz w:val="24"/>
          <w:szCs w:val="20"/>
        </w:rPr>
        <w:t> </w:t>
      </w:r>
    </w:p>
    <w:p w14:paraId="23567C83" w14:textId="77777777" w:rsidR="00DD0389" w:rsidRPr="008642E3" w:rsidRDefault="00DD0389" w:rsidP="00360080">
      <w:pPr>
        <w:widowControl w:val="0"/>
        <w:autoSpaceDE w:val="0"/>
        <w:autoSpaceDN w:val="0"/>
        <w:adjustRightInd w:val="0"/>
        <w:spacing w:after="0" w:line="240" w:lineRule="auto"/>
        <w:ind w:firstLine="720"/>
        <w:jc w:val="both"/>
        <w:rPr>
          <w:rFonts w:ascii="Times New Roman" w:hAnsi="Times New Roman"/>
          <w:sz w:val="24"/>
          <w:szCs w:val="20"/>
        </w:rPr>
      </w:pPr>
      <w:bookmarkStart w:id="23" w:name="co_anchor_B212039223800_1"/>
      <w:bookmarkEnd w:id="23"/>
      <w:r w:rsidRPr="008642E3">
        <w:rPr>
          <w:rFonts w:ascii="Times New Roman" w:hAnsi="Times New Roman"/>
          <w:sz w:val="24"/>
          <w:szCs w:val="20"/>
        </w:rPr>
        <w:t xml:space="preserve">Petitioner also suggests altering the weight given to academic and socioeconomic factors in the University’s admissions calculus. This proposal ignores the fact that the University tried, and failed, to increase diversity through enhanced consideration of socioeconomic and other factors. And it further ignores this Court’s precedent making clear that the Equal Protection Clause does not force universities to choose between a diverse student body and a reputation for academic excellence. </w:t>
      </w:r>
      <w:r w:rsidRPr="008642E3">
        <w:rPr>
          <w:rFonts w:ascii="Times New Roman" w:hAnsi="Times New Roman"/>
          <w:i/>
          <w:iCs/>
          <w:sz w:val="24"/>
          <w:szCs w:val="20"/>
        </w:rPr>
        <w:t>Grutter</w:t>
      </w:r>
      <w:r w:rsidRPr="008642E3">
        <w:rPr>
          <w:rFonts w:ascii="Times New Roman" w:hAnsi="Times New Roman"/>
          <w:sz w:val="24"/>
          <w:szCs w:val="20"/>
        </w:rPr>
        <w:t>.</w:t>
      </w:r>
    </w:p>
    <w:p w14:paraId="47F36616" w14:textId="77777777" w:rsidR="00DD0389" w:rsidRPr="008642E3" w:rsidRDefault="00DD0389">
      <w:pPr>
        <w:widowControl w:val="0"/>
        <w:autoSpaceDE w:val="0"/>
        <w:autoSpaceDN w:val="0"/>
        <w:adjustRightInd w:val="0"/>
        <w:spacing w:after="0" w:line="240" w:lineRule="auto"/>
        <w:jc w:val="both"/>
        <w:rPr>
          <w:rFonts w:ascii="Times New Roman" w:hAnsi="Times New Roman"/>
          <w:sz w:val="24"/>
          <w:szCs w:val="20"/>
        </w:rPr>
      </w:pPr>
      <w:r w:rsidRPr="008642E3">
        <w:rPr>
          <w:rFonts w:ascii="Times New Roman" w:hAnsi="Times New Roman"/>
          <w:sz w:val="24"/>
          <w:szCs w:val="20"/>
        </w:rPr>
        <w:t> </w:t>
      </w:r>
    </w:p>
    <w:p w14:paraId="5FA0322E" w14:textId="3999014C" w:rsidR="00DD0389" w:rsidRPr="008642E3" w:rsidRDefault="00DD0389" w:rsidP="00360080">
      <w:pPr>
        <w:widowControl w:val="0"/>
        <w:autoSpaceDE w:val="0"/>
        <w:autoSpaceDN w:val="0"/>
        <w:adjustRightInd w:val="0"/>
        <w:spacing w:after="0" w:line="240" w:lineRule="auto"/>
        <w:ind w:firstLine="720"/>
        <w:jc w:val="both"/>
        <w:rPr>
          <w:rFonts w:ascii="Times New Roman" w:hAnsi="Times New Roman"/>
          <w:sz w:val="24"/>
          <w:szCs w:val="20"/>
        </w:rPr>
      </w:pPr>
      <w:bookmarkStart w:id="24" w:name="co_anchor_B222039223800_1"/>
      <w:bookmarkEnd w:id="24"/>
      <w:r w:rsidRPr="008642E3">
        <w:rPr>
          <w:rFonts w:ascii="Times New Roman" w:hAnsi="Times New Roman"/>
          <w:sz w:val="24"/>
          <w:szCs w:val="20"/>
        </w:rPr>
        <w:t>Petitioner’s final suggestion is to uncap the Top Ten Percent Plan, and admit more—if not all—the University’s students through a percentage plan. As an initial matter, petitioner overlooks the fact that the Top Ten Percent Plan, though facially neutral, cannot be understood apart from its basic purpose, which is to boost minority enrollment.</w:t>
      </w:r>
      <w:r w:rsidR="00BA2E7F">
        <w:rPr>
          <w:rFonts w:ascii="Times New Roman" w:hAnsi="Times New Roman"/>
          <w:sz w:val="24"/>
          <w:szCs w:val="20"/>
        </w:rPr>
        <w:t xml:space="preserve"> . . .</w:t>
      </w:r>
      <w:r w:rsidRPr="008642E3">
        <w:rPr>
          <w:rFonts w:ascii="Times New Roman" w:hAnsi="Times New Roman"/>
          <w:sz w:val="24"/>
          <w:szCs w:val="20"/>
        </w:rPr>
        <w:t xml:space="preserve"> </w:t>
      </w:r>
      <w:r w:rsidRPr="00A723A4">
        <w:rPr>
          <w:rFonts w:ascii="Times New Roman" w:hAnsi="Times New Roman"/>
          <w:sz w:val="24"/>
          <w:szCs w:val="20"/>
        </w:rPr>
        <w:t xml:space="preserve">Percentage plans are “adopted with racially segregated neighborhoods and schools front and center stage.” </w:t>
      </w:r>
      <w:r w:rsidRPr="00A723A4">
        <w:rPr>
          <w:rFonts w:ascii="Times New Roman" w:hAnsi="Times New Roman"/>
          <w:i/>
          <w:iCs/>
          <w:sz w:val="24"/>
          <w:szCs w:val="20"/>
        </w:rPr>
        <w:t>Fisher I</w:t>
      </w:r>
      <w:r w:rsidRPr="00A723A4">
        <w:rPr>
          <w:rFonts w:ascii="Times New Roman" w:hAnsi="Times New Roman"/>
          <w:sz w:val="24"/>
          <w:szCs w:val="20"/>
        </w:rPr>
        <w:t xml:space="preserve"> (G</w:t>
      </w:r>
      <w:r w:rsidR="00976352">
        <w:rPr>
          <w:rFonts w:ascii="Times New Roman" w:hAnsi="Times New Roman"/>
          <w:sz w:val="24"/>
          <w:szCs w:val="20"/>
        </w:rPr>
        <w:t>insburg</w:t>
      </w:r>
      <w:r w:rsidRPr="00A723A4">
        <w:rPr>
          <w:rFonts w:ascii="Times New Roman" w:hAnsi="Times New Roman"/>
          <w:sz w:val="24"/>
          <w:szCs w:val="20"/>
        </w:rPr>
        <w:t xml:space="preserve">, J., dissenting). “It is race consciousness, not blindness to race, that drives such plans.” </w:t>
      </w:r>
      <w:r w:rsidRPr="00A723A4">
        <w:rPr>
          <w:rFonts w:ascii="Times New Roman" w:hAnsi="Times New Roman"/>
          <w:i/>
          <w:iCs/>
          <w:sz w:val="24"/>
          <w:szCs w:val="20"/>
        </w:rPr>
        <w:t>Ibid.</w:t>
      </w:r>
      <w:r w:rsidRPr="00A723A4">
        <w:rPr>
          <w:rFonts w:ascii="Times New Roman" w:hAnsi="Times New Roman"/>
          <w:sz w:val="24"/>
          <w:szCs w:val="20"/>
        </w:rPr>
        <w:t xml:space="preserve"> Consequently, petitioner cannot assert simply that increasing the University’s reliance on a percentage plan would make its admissions policy more race neutral.</w:t>
      </w:r>
    </w:p>
    <w:p w14:paraId="1FB206E6" w14:textId="77777777" w:rsidR="00DD0389" w:rsidRPr="008642E3" w:rsidRDefault="00DD0389">
      <w:pPr>
        <w:widowControl w:val="0"/>
        <w:autoSpaceDE w:val="0"/>
        <w:autoSpaceDN w:val="0"/>
        <w:adjustRightInd w:val="0"/>
        <w:spacing w:after="0" w:line="240" w:lineRule="auto"/>
        <w:jc w:val="both"/>
        <w:rPr>
          <w:rFonts w:ascii="Times New Roman" w:hAnsi="Times New Roman"/>
          <w:sz w:val="24"/>
          <w:szCs w:val="20"/>
        </w:rPr>
      </w:pPr>
      <w:r w:rsidRPr="008642E3">
        <w:rPr>
          <w:rFonts w:ascii="Times New Roman" w:hAnsi="Times New Roman"/>
          <w:sz w:val="24"/>
          <w:szCs w:val="20"/>
        </w:rPr>
        <w:t> </w:t>
      </w:r>
    </w:p>
    <w:p w14:paraId="0BBF6685" w14:textId="780D1423" w:rsidR="00DD0389" w:rsidRPr="008642E3" w:rsidRDefault="00DD0389" w:rsidP="00360080">
      <w:pPr>
        <w:widowControl w:val="0"/>
        <w:autoSpaceDE w:val="0"/>
        <w:autoSpaceDN w:val="0"/>
        <w:adjustRightInd w:val="0"/>
        <w:spacing w:after="0" w:line="240" w:lineRule="auto"/>
        <w:ind w:firstLine="720"/>
        <w:jc w:val="both"/>
        <w:rPr>
          <w:rFonts w:ascii="Times New Roman" w:hAnsi="Times New Roman"/>
          <w:sz w:val="24"/>
          <w:szCs w:val="20"/>
        </w:rPr>
      </w:pPr>
      <w:r w:rsidRPr="008642E3">
        <w:rPr>
          <w:rFonts w:ascii="Times New Roman" w:hAnsi="Times New Roman"/>
          <w:sz w:val="24"/>
          <w:szCs w:val="20"/>
        </w:rPr>
        <w:t>Even if, as a matter of raw numbers, minority enrollment would increase under such a regime, petitioner would be hard-pressed to find convincing support for the proposition that college admissions would be improved if they were a function of class rank alone.</w:t>
      </w:r>
      <w:r w:rsidR="00BA2E7F">
        <w:rPr>
          <w:rFonts w:ascii="Times New Roman" w:hAnsi="Times New Roman"/>
          <w:sz w:val="24"/>
          <w:szCs w:val="20"/>
        </w:rPr>
        <w:t xml:space="preserve"> . . .</w:t>
      </w:r>
    </w:p>
    <w:p w14:paraId="48CCC24D" w14:textId="77777777" w:rsidR="00DD0389" w:rsidRPr="008642E3" w:rsidRDefault="00DD0389">
      <w:pPr>
        <w:widowControl w:val="0"/>
        <w:autoSpaceDE w:val="0"/>
        <w:autoSpaceDN w:val="0"/>
        <w:adjustRightInd w:val="0"/>
        <w:spacing w:after="0" w:line="240" w:lineRule="auto"/>
        <w:jc w:val="both"/>
        <w:rPr>
          <w:rFonts w:ascii="Times New Roman" w:hAnsi="Times New Roman"/>
          <w:sz w:val="24"/>
          <w:szCs w:val="20"/>
        </w:rPr>
      </w:pPr>
      <w:r w:rsidRPr="008642E3">
        <w:rPr>
          <w:rFonts w:ascii="Times New Roman" w:hAnsi="Times New Roman"/>
          <w:sz w:val="24"/>
          <w:szCs w:val="20"/>
        </w:rPr>
        <w:t> </w:t>
      </w:r>
    </w:p>
    <w:p w14:paraId="7246D079" w14:textId="7A8F69F2" w:rsidR="0029626B" w:rsidRPr="008642E3" w:rsidRDefault="0029626B" w:rsidP="0029626B">
      <w:pPr>
        <w:widowControl w:val="0"/>
        <w:autoSpaceDE w:val="0"/>
        <w:autoSpaceDN w:val="0"/>
        <w:adjustRightInd w:val="0"/>
        <w:spacing w:after="0" w:line="240" w:lineRule="auto"/>
        <w:ind w:firstLine="720"/>
        <w:jc w:val="both"/>
        <w:rPr>
          <w:rFonts w:ascii="Times New Roman" w:hAnsi="Times New Roman"/>
          <w:sz w:val="24"/>
          <w:szCs w:val="20"/>
        </w:rPr>
      </w:pPr>
      <w:r>
        <w:rPr>
          <w:rFonts w:ascii="Times New Roman" w:hAnsi="Times New Roman"/>
          <w:sz w:val="24"/>
          <w:szCs w:val="20"/>
        </w:rPr>
        <w:lastRenderedPageBreak/>
        <w:t>[C]</w:t>
      </w:r>
      <w:r w:rsidR="00DD0389" w:rsidRPr="008642E3">
        <w:rPr>
          <w:rFonts w:ascii="Times New Roman" w:hAnsi="Times New Roman"/>
          <w:sz w:val="24"/>
          <w:szCs w:val="20"/>
        </w:rPr>
        <w:t xml:space="preserve">lass rank is a single metric, and </w:t>
      </w:r>
      <w:r w:rsidR="00976352">
        <w:rPr>
          <w:rFonts w:ascii="Times New Roman" w:hAnsi="Times New Roman"/>
          <w:sz w:val="24"/>
          <w:szCs w:val="20"/>
        </w:rPr>
        <w:t xml:space="preserve">. . . </w:t>
      </w:r>
      <w:r w:rsidR="00DD0389" w:rsidRPr="008642E3">
        <w:rPr>
          <w:rFonts w:ascii="Times New Roman" w:hAnsi="Times New Roman"/>
          <w:sz w:val="24"/>
          <w:szCs w:val="20"/>
        </w:rPr>
        <w:t xml:space="preserve">it will capture certain types of people and miss others. </w:t>
      </w:r>
      <w:r w:rsidR="00560ABE">
        <w:rPr>
          <w:rFonts w:ascii="Times New Roman" w:hAnsi="Times New Roman"/>
          <w:sz w:val="24"/>
          <w:szCs w:val="20"/>
        </w:rPr>
        <w:t>[P]</w:t>
      </w:r>
      <w:proofErr w:type="spellStart"/>
      <w:r w:rsidR="00DD0389" w:rsidRPr="008642E3">
        <w:rPr>
          <w:rFonts w:ascii="Times New Roman" w:hAnsi="Times New Roman"/>
          <w:sz w:val="24"/>
          <w:szCs w:val="20"/>
        </w:rPr>
        <w:t>rivileging</w:t>
      </w:r>
      <w:proofErr w:type="spellEnd"/>
      <w:r w:rsidR="00DD0389" w:rsidRPr="008642E3">
        <w:rPr>
          <w:rFonts w:ascii="Times New Roman" w:hAnsi="Times New Roman"/>
          <w:sz w:val="24"/>
          <w:szCs w:val="20"/>
        </w:rPr>
        <w:t xml:space="preserve"> one characteristic above all others does not lead to a diverse student body. Indeed, to compel universities to admit students based on class rank alone is in deep tension with the goal of educational diversity as this Court’s cases have defined</w:t>
      </w:r>
      <w:bookmarkStart w:id="25" w:name="co_pp_sp_708_2214_1"/>
      <w:bookmarkEnd w:id="25"/>
      <w:r w:rsidR="00650FDE" w:rsidRPr="008642E3">
        <w:rPr>
          <w:rFonts w:ascii="Times New Roman" w:hAnsi="Times New Roman"/>
          <w:sz w:val="24"/>
          <w:szCs w:val="20"/>
        </w:rPr>
        <w:t xml:space="preserve"> it</w:t>
      </w:r>
      <w:r w:rsidR="00186B62">
        <w:rPr>
          <w:rFonts w:ascii="Times New Roman" w:hAnsi="Times New Roman"/>
          <w:sz w:val="24"/>
          <w:szCs w:val="20"/>
        </w:rPr>
        <w:t>. . . .</w:t>
      </w:r>
    </w:p>
    <w:p w14:paraId="21B89D42" w14:textId="77777777" w:rsidR="00DD0389" w:rsidRPr="008642E3" w:rsidRDefault="00DD0389">
      <w:pPr>
        <w:widowControl w:val="0"/>
        <w:autoSpaceDE w:val="0"/>
        <w:autoSpaceDN w:val="0"/>
        <w:adjustRightInd w:val="0"/>
        <w:spacing w:after="0" w:line="240" w:lineRule="auto"/>
        <w:jc w:val="both"/>
        <w:rPr>
          <w:rFonts w:ascii="Times New Roman" w:hAnsi="Times New Roman"/>
          <w:sz w:val="24"/>
          <w:szCs w:val="20"/>
        </w:rPr>
      </w:pPr>
    </w:p>
    <w:p w14:paraId="363A4C92" w14:textId="6B7F7812" w:rsidR="00DD0389" w:rsidRDefault="00DD0389" w:rsidP="007947B4">
      <w:pPr>
        <w:widowControl w:val="0"/>
        <w:autoSpaceDE w:val="0"/>
        <w:autoSpaceDN w:val="0"/>
        <w:adjustRightInd w:val="0"/>
        <w:spacing w:after="0" w:line="240" w:lineRule="auto"/>
        <w:ind w:firstLine="720"/>
        <w:jc w:val="both"/>
        <w:rPr>
          <w:rFonts w:ascii="Times New Roman" w:hAnsi="Times New Roman"/>
          <w:sz w:val="24"/>
          <w:szCs w:val="20"/>
        </w:rPr>
      </w:pPr>
      <w:r w:rsidRPr="008642E3">
        <w:rPr>
          <w:rFonts w:ascii="Times New Roman" w:hAnsi="Times New Roman"/>
          <w:sz w:val="24"/>
          <w:szCs w:val="20"/>
        </w:rPr>
        <w:t>In short, none of petitioner’s suggested alternatives</w:t>
      </w:r>
      <w:r w:rsidR="00976352">
        <w:rPr>
          <w:rFonts w:ascii="Times New Roman" w:hAnsi="Times New Roman"/>
          <w:sz w:val="24"/>
          <w:szCs w:val="20"/>
        </w:rPr>
        <w:t xml:space="preserve"> . . . </w:t>
      </w:r>
      <w:r w:rsidRPr="008642E3">
        <w:rPr>
          <w:rFonts w:ascii="Times New Roman" w:hAnsi="Times New Roman"/>
          <w:sz w:val="24"/>
          <w:szCs w:val="20"/>
        </w:rPr>
        <w:t xml:space="preserve">have been shown to be “available” and “workable” means through which the University could have met its educational goals, as it understood and defined them in 2008. </w:t>
      </w:r>
      <w:r w:rsidRPr="008642E3">
        <w:rPr>
          <w:rFonts w:ascii="Times New Roman" w:hAnsi="Times New Roman"/>
          <w:i/>
          <w:iCs/>
          <w:sz w:val="24"/>
          <w:szCs w:val="20"/>
        </w:rPr>
        <w:t>Fisher I</w:t>
      </w:r>
      <w:r w:rsidRPr="008642E3">
        <w:rPr>
          <w:rFonts w:ascii="Times New Roman" w:hAnsi="Times New Roman"/>
          <w:sz w:val="24"/>
          <w:szCs w:val="20"/>
        </w:rPr>
        <w:t>. The University has thus met its burden of showing that the admissions policy it used at the time it rejected petitioner’s application was narrowly tailored.</w:t>
      </w:r>
    </w:p>
    <w:p w14:paraId="142E434A" w14:textId="77777777" w:rsidR="007947B4" w:rsidRPr="008642E3" w:rsidRDefault="007947B4" w:rsidP="007947B4">
      <w:pPr>
        <w:widowControl w:val="0"/>
        <w:autoSpaceDE w:val="0"/>
        <w:autoSpaceDN w:val="0"/>
        <w:adjustRightInd w:val="0"/>
        <w:spacing w:after="0" w:line="240" w:lineRule="auto"/>
        <w:ind w:firstLine="720"/>
        <w:jc w:val="both"/>
        <w:rPr>
          <w:rFonts w:ascii="Times New Roman" w:hAnsi="Times New Roman"/>
          <w:sz w:val="24"/>
          <w:szCs w:val="20"/>
        </w:rPr>
      </w:pPr>
    </w:p>
    <w:p w14:paraId="39B190ED" w14:textId="31496A66" w:rsidR="007947B4" w:rsidRDefault="00DD0389" w:rsidP="007947B4">
      <w:pPr>
        <w:widowControl w:val="0"/>
        <w:autoSpaceDE w:val="0"/>
        <w:autoSpaceDN w:val="0"/>
        <w:adjustRightInd w:val="0"/>
        <w:spacing w:after="0" w:line="240" w:lineRule="auto"/>
        <w:jc w:val="center"/>
        <w:rPr>
          <w:rFonts w:ascii="Times New Roman" w:hAnsi="Times New Roman"/>
          <w:sz w:val="24"/>
          <w:szCs w:val="20"/>
        </w:rPr>
      </w:pPr>
      <w:r w:rsidRPr="007947B4">
        <w:rPr>
          <w:rFonts w:ascii="Times New Roman" w:hAnsi="Times New Roman"/>
          <w:sz w:val="24"/>
          <w:szCs w:val="20"/>
        </w:rPr>
        <w:t>* * *</w:t>
      </w:r>
    </w:p>
    <w:p w14:paraId="688399CD" w14:textId="77777777" w:rsidR="007947B4" w:rsidRPr="008642E3" w:rsidRDefault="007947B4" w:rsidP="007947B4">
      <w:pPr>
        <w:widowControl w:val="0"/>
        <w:autoSpaceDE w:val="0"/>
        <w:autoSpaceDN w:val="0"/>
        <w:adjustRightInd w:val="0"/>
        <w:spacing w:after="0" w:line="240" w:lineRule="auto"/>
        <w:jc w:val="center"/>
        <w:rPr>
          <w:rFonts w:ascii="Times New Roman" w:hAnsi="Times New Roman"/>
          <w:sz w:val="24"/>
          <w:szCs w:val="20"/>
        </w:rPr>
      </w:pPr>
    </w:p>
    <w:p w14:paraId="519A1610" w14:textId="77777777" w:rsidR="00DD0389" w:rsidRPr="008642E3" w:rsidRDefault="00DD0389" w:rsidP="00360080">
      <w:pPr>
        <w:widowControl w:val="0"/>
        <w:autoSpaceDE w:val="0"/>
        <w:autoSpaceDN w:val="0"/>
        <w:adjustRightInd w:val="0"/>
        <w:spacing w:after="0" w:line="240" w:lineRule="auto"/>
        <w:ind w:firstLine="720"/>
        <w:jc w:val="both"/>
        <w:rPr>
          <w:rFonts w:ascii="Times New Roman" w:hAnsi="Times New Roman"/>
          <w:sz w:val="24"/>
          <w:szCs w:val="20"/>
        </w:rPr>
      </w:pPr>
      <w:bookmarkStart w:id="26" w:name="co_anchor_B232039223800_1"/>
      <w:bookmarkEnd w:id="26"/>
      <w:r w:rsidRPr="008642E3">
        <w:rPr>
          <w:rFonts w:ascii="Times New Roman" w:hAnsi="Times New Roman"/>
          <w:sz w:val="24"/>
          <w:szCs w:val="20"/>
        </w:rPr>
        <w:t xml:space="preserve">A university is in large part defined by those intangible “qualities which are incapable of objective measurement but which make for greatness.” </w:t>
      </w:r>
      <w:proofErr w:type="spellStart"/>
      <w:r w:rsidR="008E1D66" w:rsidRPr="00A723A4">
        <w:rPr>
          <w:rFonts w:ascii="Times New Roman" w:hAnsi="Times New Roman"/>
          <w:iCs/>
          <w:sz w:val="24"/>
          <w:szCs w:val="20"/>
        </w:rPr>
        <w:t>Sweatt</w:t>
      </w:r>
      <w:proofErr w:type="spellEnd"/>
      <w:r w:rsidR="008E1D66" w:rsidRPr="00A723A4">
        <w:rPr>
          <w:rFonts w:ascii="Times New Roman" w:hAnsi="Times New Roman"/>
          <w:iCs/>
          <w:sz w:val="24"/>
          <w:szCs w:val="20"/>
        </w:rPr>
        <w:t xml:space="preserve"> v. Painter</w:t>
      </w:r>
      <w:r w:rsidR="008E1D66" w:rsidRPr="008642E3">
        <w:rPr>
          <w:rFonts w:ascii="Times New Roman" w:hAnsi="Times New Roman"/>
          <w:i/>
          <w:iCs/>
          <w:sz w:val="24"/>
          <w:szCs w:val="20"/>
        </w:rPr>
        <w:t xml:space="preserve"> </w:t>
      </w:r>
      <w:r w:rsidRPr="008642E3">
        <w:rPr>
          <w:rFonts w:ascii="Times New Roman" w:hAnsi="Times New Roman"/>
          <w:sz w:val="24"/>
          <w:szCs w:val="20"/>
        </w:rPr>
        <w:t>(1950). Considerable deference is owed to a university in defining those intangible characteristics, like student body diversity, that are central to its identity and educational mission. But still, it remains an enduring challenge to our Nation’s education system to reconcile the pursuit of diversity with the constitutional promise of equal treatment and dignity.</w:t>
      </w:r>
    </w:p>
    <w:p w14:paraId="1F4D533C" w14:textId="77777777" w:rsidR="00DD0389" w:rsidRPr="008642E3" w:rsidRDefault="00DD0389">
      <w:pPr>
        <w:widowControl w:val="0"/>
        <w:autoSpaceDE w:val="0"/>
        <w:autoSpaceDN w:val="0"/>
        <w:adjustRightInd w:val="0"/>
        <w:spacing w:after="0" w:line="240" w:lineRule="auto"/>
        <w:jc w:val="both"/>
        <w:rPr>
          <w:rFonts w:ascii="Times New Roman" w:hAnsi="Times New Roman"/>
          <w:sz w:val="24"/>
          <w:szCs w:val="20"/>
        </w:rPr>
      </w:pPr>
      <w:r w:rsidRPr="008642E3">
        <w:rPr>
          <w:rFonts w:ascii="Times New Roman" w:hAnsi="Times New Roman"/>
          <w:sz w:val="24"/>
          <w:szCs w:val="20"/>
        </w:rPr>
        <w:t> </w:t>
      </w:r>
    </w:p>
    <w:p w14:paraId="747EDC17" w14:textId="667DE027" w:rsidR="00DD0389" w:rsidRPr="008642E3" w:rsidRDefault="00DD0389" w:rsidP="00360080">
      <w:pPr>
        <w:widowControl w:val="0"/>
        <w:autoSpaceDE w:val="0"/>
        <w:autoSpaceDN w:val="0"/>
        <w:adjustRightInd w:val="0"/>
        <w:spacing w:after="0" w:line="240" w:lineRule="auto"/>
        <w:ind w:firstLine="720"/>
        <w:jc w:val="both"/>
        <w:rPr>
          <w:rFonts w:ascii="Times New Roman" w:hAnsi="Times New Roman"/>
          <w:sz w:val="24"/>
          <w:szCs w:val="20"/>
        </w:rPr>
      </w:pPr>
      <w:r w:rsidRPr="008642E3">
        <w:rPr>
          <w:rFonts w:ascii="Times New Roman" w:hAnsi="Times New Roman"/>
          <w:sz w:val="24"/>
          <w:szCs w:val="20"/>
        </w:rPr>
        <w:t xml:space="preserve">In striking this sensitive balance, public universities, like the States themselves, can serve as “laboratories for experimentation.” </w:t>
      </w:r>
      <w:r w:rsidRPr="00A723A4">
        <w:rPr>
          <w:rFonts w:ascii="Times New Roman" w:hAnsi="Times New Roman"/>
          <w:iCs/>
          <w:sz w:val="24"/>
          <w:szCs w:val="20"/>
        </w:rPr>
        <w:t>United States v. Lopez</w:t>
      </w:r>
      <w:r w:rsidRPr="008642E3">
        <w:rPr>
          <w:rFonts w:ascii="Times New Roman" w:hAnsi="Times New Roman"/>
          <w:sz w:val="24"/>
          <w:szCs w:val="20"/>
        </w:rPr>
        <w:t xml:space="preserve"> (1995) (K</w:t>
      </w:r>
      <w:r w:rsidR="00A723A4">
        <w:rPr>
          <w:rFonts w:ascii="Times New Roman" w:hAnsi="Times New Roman"/>
          <w:sz w:val="24"/>
          <w:szCs w:val="20"/>
        </w:rPr>
        <w:t>ennedy</w:t>
      </w:r>
      <w:r w:rsidRPr="008642E3">
        <w:rPr>
          <w:rFonts w:ascii="Times New Roman" w:hAnsi="Times New Roman"/>
          <w:sz w:val="24"/>
          <w:szCs w:val="20"/>
        </w:rPr>
        <w:t xml:space="preserve">, J., concurring); see also </w:t>
      </w:r>
      <w:r w:rsidRPr="00A723A4">
        <w:rPr>
          <w:rFonts w:ascii="Times New Roman" w:hAnsi="Times New Roman"/>
          <w:iCs/>
          <w:sz w:val="24"/>
          <w:szCs w:val="20"/>
        </w:rPr>
        <w:t xml:space="preserve">New State Ice Co. v. </w:t>
      </w:r>
      <w:proofErr w:type="spellStart"/>
      <w:r w:rsidRPr="00A723A4">
        <w:rPr>
          <w:rFonts w:ascii="Times New Roman" w:hAnsi="Times New Roman"/>
          <w:iCs/>
          <w:sz w:val="24"/>
          <w:szCs w:val="20"/>
        </w:rPr>
        <w:t>Liebmann</w:t>
      </w:r>
      <w:proofErr w:type="spellEnd"/>
      <w:r w:rsidRPr="008642E3">
        <w:rPr>
          <w:rFonts w:ascii="Times New Roman" w:hAnsi="Times New Roman"/>
          <w:sz w:val="24"/>
          <w:szCs w:val="20"/>
        </w:rPr>
        <w:t xml:space="preserve"> (1932) (Brandeis, J., dissenting). The University of Texas at Austin has a special opportunity to learn and to teach. The University now has at its disposal valuable data about the manner in which different approaches to admissions may foster diversity or instead dilute it. The University must continue to use this data to scrutinize the fairness of its admissions program; to assess whether changing demographics have undermined the need for a race-conscious policy; and to identify</w:t>
      </w:r>
      <w:bookmarkStart w:id="27" w:name="co_pp_sp_708_2215_1"/>
      <w:bookmarkEnd w:id="27"/>
      <w:r w:rsidRPr="008642E3">
        <w:rPr>
          <w:rFonts w:ascii="Times New Roman" w:hAnsi="Times New Roman"/>
          <w:sz w:val="24"/>
          <w:szCs w:val="20"/>
        </w:rPr>
        <w:t xml:space="preserve"> the effects, both positive and negative, of the affirmative-action measures it deems necessary.</w:t>
      </w:r>
    </w:p>
    <w:p w14:paraId="41CE6082" w14:textId="77777777" w:rsidR="00DD0389" w:rsidRPr="008642E3" w:rsidRDefault="00DD0389">
      <w:pPr>
        <w:widowControl w:val="0"/>
        <w:autoSpaceDE w:val="0"/>
        <w:autoSpaceDN w:val="0"/>
        <w:adjustRightInd w:val="0"/>
        <w:spacing w:after="0" w:line="240" w:lineRule="auto"/>
        <w:jc w:val="both"/>
        <w:rPr>
          <w:rFonts w:ascii="Times New Roman" w:hAnsi="Times New Roman"/>
          <w:sz w:val="24"/>
          <w:szCs w:val="20"/>
        </w:rPr>
      </w:pPr>
      <w:r w:rsidRPr="008642E3">
        <w:rPr>
          <w:rFonts w:ascii="Times New Roman" w:hAnsi="Times New Roman"/>
          <w:sz w:val="24"/>
          <w:szCs w:val="20"/>
        </w:rPr>
        <w:t> </w:t>
      </w:r>
    </w:p>
    <w:p w14:paraId="25592256" w14:textId="77777777" w:rsidR="00DD0389" w:rsidRPr="008642E3" w:rsidRDefault="00DD0389" w:rsidP="00360080">
      <w:pPr>
        <w:widowControl w:val="0"/>
        <w:autoSpaceDE w:val="0"/>
        <w:autoSpaceDN w:val="0"/>
        <w:adjustRightInd w:val="0"/>
        <w:spacing w:after="0" w:line="240" w:lineRule="auto"/>
        <w:ind w:firstLine="720"/>
        <w:jc w:val="both"/>
        <w:rPr>
          <w:rFonts w:ascii="Times New Roman" w:hAnsi="Times New Roman"/>
          <w:sz w:val="24"/>
          <w:szCs w:val="20"/>
        </w:rPr>
      </w:pPr>
      <w:r w:rsidRPr="008642E3">
        <w:rPr>
          <w:rFonts w:ascii="Times New Roman" w:hAnsi="Times New Roman"/>
          <w:sz w:val="24"/>
          <w:szCs w:val="20"/>
        </w:rPr>
        <w:t>The Court’s affirmance of the University’s admissions policy today does not necessarily mean the University may rely on that same policy without refinement. It is the University’s ongoing obligation to engage in constant deliberation and continued reflection regarding its admissions policies.</w:t>
      </w:r>
    </w:p>
    <w:p w14:paraId="6786FF2D" w14:textId="77777777" w:rsidR="00DD0389" w:rsidRPr="008642E3" w:rsidRDefault="00DD0389">
      <w:pPr>
        <w:widowControl w:val="0"/>
        <w:autoSpaceDE w:val="0"/>
        <w:autoSpaceDN w:val="0"/>
        <w:adjustRightInd w:val="0"/>
        <w:spacing w:after="0" w:line="240" w:lineRule="auto"/>
        <w:jc w:val="both"/>
        <w:rPr>
          <w:rFonts w:ascii="Times New Roman" w:hAnsi="Times New Roman"/>
          <w:sz w:val="24"/>
          <w:szCs w:val="20"/>
        </w:rPr>
      </w:pPr>
      <w:r w:rsidRPr="008642E3">
        <w:rPr>
          <w:rFonts w:ascii="Times New Roman" w:hAnsi="Times New Roman"/>
          <w:sz w:val="24"/>
          <w:szCs w:val="20"/>
        </w:rPr>
        <w:t> </w:t>
      </w:r>
    </w:p>
    <w:p w14:paraId="40F85B8E" w14:textId="77777777" w:rsidR="00DD0389" w:rsidRPr="008642E3" w:rsidRDefault="00DD0389" w:rsidP="00360080">
      <w:pPr>
        <w:widowControl w:val="0"/>
        <w:autoSpaceDE w:val="0"/>
        <w:autoSpaceDN w:val="0"/>
        <w:adjustRightInd w:val="0"/>
        <w:spacing w:after="0" w:line="240" w:lineRule="auto"/>
        <w:ind w:firstLine="720"/>
        <w:jc w:val="both"/>
        <w:rPr>
          <w:rFonts w:ascii="Times New Roman" w:hAnsi="Times New Roman"/>
          <w:sz w:val="24"/>
          <w:szCs w:val="20"/>
        </w:rPr>
      </w:pPr>
      <w:r w:rsidRPr="008642E3">
        <w:rPr>
          <w:rFonts w:ascii="Times New Roman" w:hAnsi="Times New Roman"/>
          <w:sz w:val="24"/>
          <w:szCs w:val="20"/>
        </w:rPr>
        <w:t>The judgment of the Court of Appeals is affirmed.</w:t>
      </w:r>
    </w:p>
    <w:p w14:paraId="2227EEF4" w14:textId="1B8134A3" w:rsidR="00A723A4" w:rsidRDefault="00DD0389" w:rsidP="007947B4">
      <w:pPr>
        <w:widowControl w:val="0"/>
        <w:autoSpaceDE w:val="0"/>
        <w:autoSpaceDN w:val="0"/>
        <w:adjustRightInd w:val="0"/>
        <w:spacing w:after="0" w:line="240" w:lineRule="auto"/>
        <w:jc w:val="both"/>
        <w:rPr>
          <w:rFonts w:ascii="Times New Roman" w:hAnsi="Times New Roman"/>
          <w:sz w:val="24"/>
          <w:szCs w:val="20"/>
        </w:rPr>
      </w:pPr>
      <w:r w:rsidRPr="008642E3">
        <w:rPr>
          <w:rFonts w:ascii="Times New Roman" w:hAnsi="Times New Roman"/>
          <w:sz w:val="24"/>
          <w:szCs w:val="20"/>
        </w:rPr>
        <w:t> </w:t>
      </w:r>
    </w:p>
    <w:p w14:paraId="1796C8A4" w14:textId="4FC195CB" w:rsidR="00A723A4" w:rsidRDefault="003F0609" w:rsidP="003F0609">
      <w:pPr>
        <w:widowControl w:val="0"/>
        <w:autoSpaceDE w:val="0"/>
        <w:autoSpaceDN w:val="0"/>
        <w:adjustRightInd w:val="0"/>
        <w:spacing w:after="0" w:line="240" w:lineRule="auto"/>
        <w:jc w:val="both"/>
        <w:rPr>
          <w:rFonts w:ascii="Times New Roman" w:hAnsi="Times New Roman"/>
          <w:sz w:val="24"/>
          <w:szCs w:val="20"/>
        </w:rPr>
      </w:pPr>
      <w:r>
        <w:rPr>
          <w:rFonts w:ascii="Times New Roman" w:hAnsi="Times New Roman"/>
          <w:smallCaps/>
          <w:sz w:val="24"/>
          <w:szCs w:val="20"/>
        </w:rPr>
        <w:t>■</w:t>
      </w:r>
      <w:r w:rsidR="00DD0389" w:rsidRPr="00283055">
        <w:rPr>
          <w:rFonts w:ascii="Times New Roman" w:hAnsi="Times New Roman"/>
          <w:smallCaps/>
          <w:sz w:val="24"/>
          <w:szCs w:val="20"/>
        </w:rPr>
        <w:t>Justice</w:t>
      </w:r>
      <w:r w:rsidR="00DD0389" w:rsidRPr="008642E3">
        <w:rPr>
          <w:rFonts w:ascii="Times New Roman" w:hAnsi="Times New Roman"/>
          <w:sz w:val="24"/>
          <w:szCs w:val="20"/>
        </w:rPr>
        <w:t xml:space="preserve"> </w:t>
      </w:r>
      <w:r w:rsidR="00186B62">
        <w:rPr>
          <w:rFonts w:ascii="Times New Roman" w:hAnsi="Times New Roman"/>
          <w:b/>
          <w:smallCaps/>
          <w:sz w:val="24"/>
          <w:szCs w:val="20"/>
        </w:rPr>
        <w:t>Kagan</w:t>
      </w:r>
      <w:r w:rsidR="00186B62" w:rsidRPr="008642E3">
        <w:rPr>
          <w:rFonts w:ascii="Times New Roman" w:hAnsi="Times New Roman"/>
          <w:sz w:val="24"/>
          <w:szCs w:val="20"/>
        </w:rPr>
        <w:t xml:space="preserve"> </w:t>
      </w:r>
      <w:r w:rsidR="00DD0389" w:rsidRPr="008642E3">
        <w:rPr>
          <w:rFonts w:ascii="Times New Roman" w:hAnsi="Times New Roman"/>
          <w:sz w:val="24"/>
          <w:szCs w:val="20"/>
        </w:rPr>
        <w:t>took no part in the consideration or decision of this case.</w:t>
      </w:r>
      <w:bookmarkStart w:id="28" w:name="co_dissent_opinion_1"/>
      <w:bookmarkEnd w:id="28"/>
    </w:p>
    <w:p w14:paraId="719421C7" w14:textId="77777777" w:rsidR="00A723A4" w:rsidRDefault="00A723A4" w:rsidP="00A723A4">
      <w:pPr>
        <w:widowControl w:val="0"/>
        <w:autoSpaceDE w:val="0"/>
        <w:autoSpaceDN w:val="0"/>
        <w:adjustRightInd w:val="0"/>
        <w:spacing w:after="0" w:line="240" w:lineRule="auto"/>
        <w:ind w:firstLine="720"/>
        <w:jc w:val="both"/>
        <w:rPr>
          <w:rFonts w:ascii="Times New Roman" w:hAnsi="Times New Roman"/>
          <w:sz w:val="24"/>
          <w:szCs w:val="20"/>
        </w:rPr>
      </w:pPr>
    </w:p>
    <w:p w14:paraId="65D2E806" w14:textId="1FD54905" w:rsidR="00DD0389" w:rsidRPr="008642E3" w:rsidRDefault="003F0609" w:rsidP="003F0609">
      <w:pPr>
        <w:widowControl w:val="0"/>
        <w:autoSpaceDE w:val="0"/>
        <w:autoSpaceDN w:val="0"/>
        <w:adjustRightInd w:val="0"/>
        <w:spacing w:after="0" w:line="240" w:lineRule="auto"/>
        <w:jc w:val="both"/>
        <w:rPr>
          <w:rFonts w:ascii="Times New Roman" w:hAnsi="Times New Roman"/>
          <w:sz w:val="24"/>
          <w:szCs w:val="20"/>
        </w:rPr>
      </w:pPr>
      <w:r>
        <w:rPr>
          <w:rFonts w:ascii="Times New Roman" w:hAnsi="Times New Roman"/>
          <w:smallCaps/>
          <w:sz w:val="24"/>
          <w:szCs w:val="20"/>
        </w:rPr>
        <w:t>■</w:t>
      </w:r>
      <w:r w:rsidR="00672DE8" w:rsidRPr="00283055">
        <w:rPr>
          <w:rFonts w:ascii="Times New Roman" w:hAnsi="Times New Roman"/>
          <w:smallCaps/>
          <w:sz w:val="24"/>
          <w:szCs w:val="20"/>
        </w:rPr>
        <w:t>J</w:t>
      </w:r>
      <w:r w:rsidR="00DD0389" w:rsidRPr="00283055">
        <w:rPr>
          <w:rFonts w:ascii="Times New Roman" w:hAnsi="Times New Roman"/>
          <w:smallCaps/>
          <w:sz w:val="24"/>
          <w:szCs w:val="20"/>
        </w:rPr>
        <w:t>ustice</w:t>
      </w:r>
      <w:r w:rsidR="00DD0389" w:rsidRPr="008642E3">
        <w:rPr>
          <w:rFonts w:ascii="Times New Roman" w:hAnsi="Times New Roman"/>
          <w:sz w:val="24"/>
          <w:szCs w:val="20"/>
        </w:rPr>
        <w:t xml:space="preserve"> </w:t>
      </w:r>
      <w:r w:rsidR="00186B62">
        <w:rPr>
          <w:rFonts w:ascii="Times New Roman" w:hAnsi="Times New Roman"/>
          <w:b/>
          <w:smallCaps/>
          <w:sz w:val="24"/>
          <w:szCs w:val="20"/>
        </w:rPr>
        <w:t>Thomas</w:t>
      </w:r>
      <w:r w:rsidR="00DD0389" w:rsidRPr="008642E3">
        <w:rPr>
          <w:rFonts w:ascii="Times New Roman" w:hAnsi="Times New Roman"/>
          <w:sz w:val="24"/>
          <w:szCs w:val="20"/>
        </w:rPr>
        <w:t>, dissenting.</w:t>
      </w:r>
    </w:p>
    <w:p w14:paraId="671C12A8" w14:textId="77777777" w:rsidR="00DD0389" w:rsidRPr="008642E3" w:rsidRDefault="00DD0389">
      <w:pPr>
        <w:widowControl w:val="0"/>
        <w:autoSpaceDE w:val="0"/>
        <w:autoSpaceDN w:val="0"/>
        <w:adjustRightInd w:val="0"/>
        <w:spacing w:after="0" w:line="240" w:lineRule="auto"/>
        <w:jc w:val="both"/>
        <w:rPr>
          <w:rFonts w:ascii="Times New Roman" w:hAnsi="Times New Roman"/>
          <w:sz w:val="24"/>
          <w:szCs w:val="20"/>
        </w:rPr>
      </w:pPr>
      <w:bookmarkStart w:id="29" w:name="co_anchor_Ie27a6afec68d11e698dc8b09b4f04"/>
      <w:bookmarkEnd w:id="29"/>
    </w:p>
    <w:p w14:paraId="3DC8542D" w14:textId="42727312" w:rsidR="00DD0389" w:rsidRPr="008642E3" w:rsidRDefault="00DD0389" w:rsidP="00765240">
      <w:pPr>
        <w:widowControl w:val="0"/>
        <w:autoSpaceDE w:val="0"/>
        <w:autoSpaceDN w:val="0"/>
        <w:adjustRightInd w:val="0"/>
        <w:spacing w:after="0" w:line="240" w:lineRule="auto"/>
        <w:ind w:firstLine="720"/>
        <w:jc w:val="both"/>
        <w:rPr>
          <w:rFonts w:ascii="Times New Roman" w:hAnsi="Times New Roman"/>
          <w:sz w:val="24"/>
          <w:szCs w:val="20"/>
        </w:rPr>
      </w:pPr>
      <w:r w:rsidRPr="008642E3">
        <w:rPr>
          <w:rFonts w:ascii="Times New Roman" w:hAnsi="Times New Roman"/>
          <w:sz w:val="24"/>
          <w:szCs w:val="20"/>
        </w:rPr>
        <w:t xml:space="preserve">I join Justice </w:t>
      </w:r>
      <w:r w:rsidR="00186B62" w:rsidRPr="00A723A4">
        <w:rPr>
          <w:rFonts w:ascii="Times New Roman" w:hAnsi="Times New Roman"/>
          <w:sz w:val="24"/>
          <w:szCs w:val="20"/>
        </w:rPr>
        <w:t xml:space="preserve">Alito’s </w:t>
      </w:r>
      <w:r w:rsidRPr="008642E3">
        <w:rPr>
          <w:rFonts w:ascii="Times New Roman" w:hAnsi="Times New Roman"/>
          <w:sz w:val="24"/>
          <w:szCs w:val="20"/>
        </w:rPr>
        <w:t>dissent</w:t>
      </w:r>
      <w:r w:rsidR="00186B62">
        <w:rPr>
          <w:rFonts w:ascii="Times New Roman" w:hAnsi="Times New Roman"/>
          <w:sz w:val="24"/>
          <w:szCs w:val="20"/>
        </w:rPr>
        <w:t>. . . .</w:t>
      </w:r>
      <w:r w:rsidR="00976352">
        <w:rPr>
          <w:rFonts w:ascii="Times New Roman" w:hAnsi="Times New Roman"/>
          <w:sz w:val="24"/>
          <w:szCs w:val="20"/>
        </w:rPr>
        <w:t xml:space="preserve"> </w:t>
      </w:r>
      <w:r w:rsidRPr="008642E3">
        <w:rPr>
          <w:rFonts w:ascii="Times New Roman" w:hAnsi="Times New Roman"/>
          <w:sz w:val="24"/>
          <w:szCs w:val="20"/>
        </w:rPr>
        <w:t xml:space="preserve">I write separately to reaffirm that “a State’s use of race in higher education admissions decisions is categorically prohibited by the Equal Protection Clause.” </w:t>
      </w:r>
      <w:r w:rsidRPr="008642E3">
        <w:rPr>
          <w:rFonts w:ascii="Times New Roman" w:hAnsi="Times New Roman"/>
          <w:i/>
          <w:iCs/>
          <w:sz w:val="24"/>
          <w:szCs w:val="20"/>
        </w:rPr>
        <w:t>Fisher</w:t>
      </w:r>
      <w:r w:rsidR="006F1D27">
        <w:rPr>
          <w:rFonts w:ascii="Times New Roman" w:hAnsi="Times New Roman"/>
          <w:i/>
          <w:iCs/>
          <w:sz w:val="24"/>
          <w:szCs w:val="20"/>
        </w:rPr>
        <w:t xml:space="preserve"> I</w:t>
      </w:r>
      <w:r w:rsidRPr="008642E3">
        <w:rPr>
          <w:rFonts w:ascii="Times New Roman" w:hAnsi="Times New Roman"/>
          <w:sz w:val="24"/>
          <w:szCs w:val="20"/>
        </w:rPr>
        <w:t xml:space="preserve"> (T</w:t>
      </w:r>
      <w:r w:rsidR="00765240">
        <w:rPr>
          <w:rFonts w:ascii="Times New Roman" w:hAnsi="Times New Roman"/>
          <w:sz w:val="24"/>
          <w:szCs w:val="20"/>
        </w:rPr>
        <w:t>homas</w:t>
      </w:r>
      <w:r w:rsidRPr="008642E3">
        <w:rPr>
          <w:rFonts w:ascii="Times New Roman" w:hAnsi="Times New Roman"/>
          <w:sz w:val="24"/>
          <w:szCs w:val="20"/>
        </w:rPr>
        <w:t>, J., concurring). “The Constitution abhors classifications based on race because every time the government places citizens on racial registers and makes race relevant to the provision of burdens o</w:t>
      </w:r>
      <w:r w:rsidR="008E1D66" w:rsidRPr="008642E3">
        <w:rPr>
          <w:rFonts w:ascii="Times New Roman" w:hAnsi="Times New Roman"/>
          <w:sz w:val="24"/>
          <w:szCs w:val="20"/>
        </w:rPr>
        <w:t>r benefits, it demeans us all</w:t>
      </w:r>
      <w:r w:rsidR="0029626B">
        <w:rPr>
          <w:rFonts w:ascii="Times New Roman" w:hAnsi="Times New Roman"/>
          <w:sz w:val="24"/>
          <w:szCs w:val="20"/>
        </w:rPr>
        <w:t>.</w:t>
      </w:r>
      <w:r w:rsidR="008E1D66" w:rsidRPr="008642E3">
        <w:rPr>
          <w:rFonts w:ascii="Times New Roman" w:hAnsi="Times New Roman"/>
          <w:sz w:val="24"/>
          <w:szCs w:val="20"/>
        </w:rPr>
        <w:t>”</w:t>
      </w:r>
      <w:r w:rsidRPr="008642E3">
        <w:rPr>
          <w:rFonts w:ascii="Times New Roman" w:hAnsi="Times New Roman"/>
          <w:sz w:val="24"/>
          <w:szCs w:val="20"/>
        </w:rPr>
        <w:t xml:space="preserve"> That constitutional imperative does not change </w:t>
      </w:r>
      <w:r w:rsidRPr="008642E3">
        <w:rPr>
          <w:rFonts w:ascii="Times New Roman" w:hAnsi="Times New Roman"/>
          <w:sz w:val="24"/>
          <w:szCs w:val="20"/>
        </w:rPr>
        <w:lastRenderedPageBreak/>
        <w:t xml:space="preserve">in the face of a “faddish </w:t>
      </w:r>
      <w:proofErr w:type="spellStart"/>
      <w:r w:rsidRPr="008642E3">
        <w:rPr>
          <w:rFonts w:ascii="Times New Roman" w:hAnsi="Times New Roman"/>
          <w:sz w:val="24"/>
          <w:szCs w:val="20"/>
        </w:rPr>
        <w:t>theor</w:t>
      </w:r>
      <w:proofErr w:type="spellEnd"/>
      <w:r w:rsidRPr="008642E3">
        <w:rPr>
          <w:rFonts w:ascii="Times New Roman" w:hAnsi="Times New Roman"/>
          <w:sz w:val="24"/>
          <w:szCs w:val="20"/>
        </w:rPr>
        <w:t xml:space="preserve">[y]” that racial discrimination may produce “educational benefits.” The Court was wrong to hold otherwise in </w:t>
      </w:r>
      <w:r w:rsidRPr="008642E3">
        <w:rPr>
          <w:rFonts w:ascii="Times New Roman" w:hAnsi="Times New Roman"/>
          <w:i/>
          <w:iCs/>
          <w:sz w:val="24"/>
          <w:szCs w:val="20"/>
        </w:rPr>
        <w:t>Grutter</w:t>
      </w:r>
      <w:r w:rsidRPr="008642E3">
        <w:rPr>
          <w:rFonts w:ascii="Times New Roman" w:hAnsi="Times New Roman"/>
          <w:sz w:val="24"/>
          <w:szCs w:val="20"/>
        </w:rPr>
        <w:t xml:space="preserve">. I would overrule </w:t>
      </w:r>
      <w:r w:rsidRPr="008642E3">
        <w:rPr>
          <w:rFonts w:ascii="Times New Roman" w:hAnsi="Times New Roman"/>
          <w:i/>
          <w:iCs/>
          <w:sz w:val="24"/>
          <w:szCs w:val="20"/>
        </w:rPr>
        <w:t>Grutter</w:t>
      </w:r>
      <w:r w:rsidRPr="008642E3">
        <w:rPr>
          <w:rFonts w:ascii="Times New Roman" w:hAnsi="Times New Roman"/>
          <w:sz w:val="24"/>
          <w:szCs w:val="20"/>
        </w:rPr>
        <w:t xml:space="preserve"> and reverse the Fifth Circuit’s judgment. </w:t>
      </w:r>
    </w:p>
    <w:p w14:paraId="5900CF23" w14:textId="36CB11CA" w:rsidR="00DD0389" w:rsidRDefault="003F0609" w:rsidP="003F0609">
      <w:pPr>
        <w:widowControl w:val="0"/>
        <w:autoSpaceDE w:val="0"/>
        <w:autoSpaceDN w:val="0"/>
        <w:adjustRightInd w:val="0"/>
        <w:spacing w:before="400" w:after="0" w:line="240" w:lineRule="auto"/>
        <w:jc w:val="both"/>
        <w:rPr>
          <w:rFonts w:ascii="Times New Roman" w:hAnsi="Times New Roman"/>
          <w:sz w:val="24"/>
          <w:szCs w:val="20"/>
        </w:rPr>
      </w:pPr>
      <w:r>
        <w:rPr>
          <w:rFonts w:ascii="Times New Roman" w:hAnsi="Times New Roman"/>
          <w:smallCaps/>
          <w:sz w:val="24"/>
          <w:szCs w:val="20"/>
        </w:rPr>
        <w:t>■</w:t>
      </w:r>
      <w:r w:rsidR="00DD0389" w:rsidRPr="00283055">
        <w:rPr>
          <w:rFonts w:ascii="Times New Roman" w:hAnsi="Times New Roman"/>
          <w:smallCaps/>
          <w:sz w:val="24"/>
          <w:szCs w:val="20"/>
        </w:rPr>
        <w:t>Justice</w:t>
      </w:r>
      <w:r w:rsidR="00DD0389" w:rsidRPr="008642E3">
        <w:rPr>
          <w:rFonts w:ascii="Times New Roman" w:hAnsi="Times New Roman"/>
          <w:sz w:val="24"/>
          <w:szCs w:val="20"/>
        </w:rPr>
        <w:t xml:space="preserve"> </w:t>
      </w:r>
      <w:r w:rsidR="00AD480D">
        <w:rPr>
          <w:rFonts w:ascii="Times New Roman" w:hAnsi="Times New Roman"/>
          <w:b/>
          <w:smallCaps/>
          <w:sz w:val="24"/>
          <w:szCs w:val="20"/>
        </w:rPr>
        <w:t>Alito</w:t>
      </w:r>
      <w:r w:rsidR="00DD0389" w:rsidRPr="008642E3">
        <w:rPr>
          <w:rFonts w:ascii="Times New Roman" w:hAnsi="Times New Roman"/>
          <w:sz w:val="24"/>
          <w:szCs w:val="20"/>
        </w:rPr>
        <w:t xml:space="preserve">, with whom </w:t>
      </w:r>
      <w:r w:rsidR="00DD0389" w:rsidRPr="00283055">
        <w:rPr>
          <w:rFonts w:ascii="Times New Roman" w:hAnsi="Times New Roman"/>
          <w:b/>
          <w:smallCaps/>
          <w:sz w:val="24"/>
          <w:szCs w:val="20"/>
        </w:rPr>
        <w:t>T</w:t>
      </w:r>
      <w:r w:rsidR="00765240" w:rsidRPr="00283055">
        <w:rPr>
          <w:rFonts w:ascii="Times New Roman" w:hAnsi="Times New Roman"/>
          <w:b/>
          <w:smallCaps/>
          <w:sz w:val="24"/>
          <w:szCs w:val="20"/>
        </w:rPr>
        <w:t>he Chief Justice [Roberts]</w:t>
      </w:r>
      <w:r w:rsidR="00DD0389" w:rsidRPr="008642E3">
        <w:rPr>
          <w:rFonts w:ascii="Times New Roman" w:hAnsi="Times New Roman"/>
          <w:sz w:val="24"/>
          <w:szCs w:val="20"/>
        </w:rPr>
        <w:t xml:space="preserve"> and </w:t>
      </w:r>
      <w:r w:rsidR="00DD0389" w:rsidRPr="00283055">
        <w:rPr>
          <w:rFonts w:ascii="Times New Roman" w:hAnsi="Times New Roman"/>
          <w:smallCaps/>
          <w:sz w:val="24"/>
          <w:szCs w:val="20"/>
        </w:rPr>
        <w:t>Justice</w:t>
      </w:r>
      <w:r w:rsidR="00DD0389" w:rsidRPr="008642E3">
        <w:rPr>
          <w:rFonts w:ascii="Times New Roman" w:hAnsi="Times New Roman"/>
          <w:sz w:val="24"/>
          <w:szCs w:val="20"/>
        </w:rPr>
        <w:t xml:space="preserve"> </w:t>
      </w:r>
      <w:r w:rsidR="00AD480D">
        <w:rPr>
          <w:rFonts w:ascii="Times New Roman" w:hAnsi="Times New Roman"/>
          <w:b/>
          <w:smallCaps/>
          <w:sz w:val="24"/>
          <w:szCs w:val="20"/>
        </w:rPr>
        <w:t>Thomas</w:t>
      </w:r>
      <w:r w:rsidR="00AD480D" w:rsidRPr="008642E3">
        <w:rPr>
          <w:rFonts w:ascii="Times New Roman" w:hAnsi="Times New Roman"/>
          <w:sz w:val="24"/>
          <w:szCs w:val="20"/>
        </w:rPr>
        <w:t xml:space="preserve"> </w:t>
      </w:r>
      <w:r w:rsidR="00DD0389" w:rsidRPr="008642E3">
        <w:rPr>
          <w:rFonts w:ascii="Times New Roman" w:hAnsi="Times New Roman"/>
          <w:sz w:val="24"/>
          <w:szCs w:val="20"/>
        </w:rPr>
        <w:t>join, dissenting.</w:t>
      </w:r>
      <w:r w:rsidR="00976352">
        <w:rPr>
          <w:rFonts w:ascii="Times New Roman" w:hAnsi="Times New Roman"/>
          <w:sz w:val="24"/>
          <w:szCs w:val="20"/>
        </w:rPr>
        <w:t xml:space="preserve"> . . .</w:t>
      </w:r>
      <w:bookmarkStart w:id="30" w:name="co_anchor_Ie27a6b03c68d11e698dc8b09b4f04"/>
      <w:bookmarkEnd w:id="30"/>
      <w:r w:rsidR="00976352">
        <w:rPr>
          <w:rFonts w:ascii="Times New Roman" w:hAnsi="Times New Roman"/>
          <w:sz w:val="24"/>
          <w:szCs w:val="20"/>
        </w:rPr>
        <w:t xml:space="preserve"> </w:t>
      </w:r>
    </w:p>
    <w:p w14:paraId="0F1759DE" w14:textId="6A737180" w:rsidR="00226A30" w:rsidRPr="007947B4" w:rsidRDefault="00226A30" w:rsidP="007947B4">
      <w:pPr>
        <w:widowControl w:val="0"/>
        <w:autoSpaceDE w:val="0"/>
        <w:autoSpaceDN w:val="0"/>
        <w:adjustRightInd w:val="0"/>
        <w:spacing w:after="0" w:line="240" w:lineRule="auto"/>
        <w:jc w:val="center"/>
        <w:rPr>
          <w:rFonts w:ascii="Times New Roman" w:hAnsi="Times New Roman"/>
          <w:b/>
          <w:sz w:val="24"/>
          <w:szCs w:val="20"/>
        </w:rPr>
      </w:pPr>
      <w:r w:rsidRPr="007947B4">
        <w:rPr>
          <w:rFonts w:ascii="Times New Roman" w:hAnsi="Times New Roman"/>
          <w:b/>
          <w:sz w:val="24"/>
          <w:szCs w:val="20"/>
        </w:rPr>
        <w:t>I. . . .</w:t>
      </w:r>
    </w:p>
    <w:p w14:paraId="69D619C2" w14:textId="77777777" w:rsidR="007947B4" w:rsidRPr="007947B4" w:rsidRDefault="007947B4" w:rsidP="007947B4">
      <w:pPr>
        <w:widowControl w:val="0"/>
        <w:autoSpaceDE w:val="0"/>
        <w:autoSpaceDN w:val="0"/>
        <w:adjustRightInd w:val="0"/>
        <w:spacing w:after="0" w:line="240" w:lineRule="auto"/>
        <w:jc w:val="center"/>
        <w:rPr>
          <w:rFonts w:ascii="Times New Roman" w:hAnsi="Times New Roman"/>
          <w:b/>
          <w:sz w:val="24"/>
          <w:szCs w:val="20"/>
        </w:rPr>
      </w:pPr>
    </w:p>
    <w:p w14:paraId="0DDF5F8F" w14:textId="55A714A5" w:rsidR="00DD0389" w:rsidRPr="007947B4" w:rsidRDefault="00DD0389" w:rsidP="007947B4">
      <w:pPr>
        <w:widowControl w:val="0"/>
        <w:autoSpaceDE w:val="0"/>
        <w:autoSpaceDN w:val="0"/>
        <w:adjustRightInd w:val="0"/>
        <w:spacing w:after="0" w:line="240" w:lineRule="auto"/>
        <w:jc w:val="center"/>
        <w:rPr>
          <w:rFonts w:ascii="Times New Roman" w:hAnsi="Times New Roman"/>
          <w:b/>
          <w:sz w:val="24"/>
          <w:szCs w:val="20"/>
        </w:rPr>
      </w:pPr>
      <w:r w:rsidRPr="007947B4">
        <w:rPr>
          <w:rFonts w:ascii="Times New Roman" w:hAnsi="Times New Roman"/>
          <w:b/>
          <w:sz w:val="24"/>
          <w:szCs w:val="20"/>
        </w:rPr>
        <w:t>II</w:t>
      </w:r>
    </w:p>
    <w:p w14:paraId="05CFF0BC" w14:textId="77777777" w:rsidR="007947B4" w:rsidRPr="008642E3" w:rsidRDefault="007947B4" w:rsidP="007947B4">
      <w:pPr>
        <w:widowControl w:val="0"/>
        <w:autoSpaceDE w:val="0"/>
        <w:autoSpaceDN w:val="0"/>
        <w:adjustRightInd w:val="0"/>
        <w:spacing w:after="0" w:line="240" w:lineRule="auto"/>
        <w:jc w:val="center"/>
        <w:rPr>
          <w:rFonts w:ascii="Times New Roman" w:hAnsi="Times New Roman"/>
          <w:sz w:val="24"/>
          <w:szCs w:val="20"/>
        </w:rPr>
      </w:pPr>
    </w:p>
    <w:p w14:paraId="4D61B67B" w14:textId="0ADD5FE2" w:rsidR="00DD0389" w:rsidRPr="008642E3" w:rsidRDefault="00DD0389" w:rsidP="007F7157">
      <w:pPr>
        <w:widowControl w:val="0"/>
        <w:autoSpaceDE w:val="0"/>
        <w:autoSpaceDN w:val="0"/>
        <w:adjustRightInd w:val="0"/>
        <w:spacing w:after="0" w:line="240" w:lineRule="auto"/>
        <w:ind w:firstLine="720"/>
        <w:jc w:val="both"/>
        <w:rPr>
          <w:rFonts w:ascii="Times New Roman" w:hAnsi="Times New Roman"/>
          <w:sz w:val="24"/>
          <w:szCs w:val="20"/>
        </w:rPr>
      </w:pPr>
      <w:r w:rsidRPr="008642E3">
        <w:rPr>
          <w:rFonts w:ascii="Times New Roman" w:hAnsi="Times New Roman"/>
          <w:sz w:val="24"/>
          <w:szCs w:val="20"/>
        </w:rPr>
        <w:t>UT’s race-conscious admissions program cannot satisfy strict scrutiny. UT says that the program furthers its interest in the educational benefits of diversity, but it has failed to define that interest with any clarity or to demonstrate that its program is narrowly tailored to achieve that or any other particular interest. By accepting UT’s rationales as sufficient to meet its burden, the majority licenses UT’s perverse assumptions about different groups of minority students—the precise assumptions strict scrutiny is supposed to stamp out</w:t>
      </w:r>
      <w:r w:rsidR="00226A30">
        <w:rPr>
          <w:rFonts w:ascii="Times New Roman" w:hAnsi="Times New Roman"/>
          <w:sz w:val="24"/>
          <w:szCs w:val="20"/>
        </w:rPr>
        <w:t>. . . .</w:t>
      </w:r>
      <w:bookmarkStart w:id="31" w:name="co_anchor_Ie27a6b06c68d11e698dc8b09b4f04"/>
      <w:bookmarkEnd w:id="31"/>
    </w:p>
    <w:p w14:paraId="38A27C1A" w14:textId="77777777" w:rsidR="00226A30" w:rsidRDefault="00226A30" w:rsidP="007F7157">
      <w:pPr>
        <w:widowControl w:val="0"/>
        <w:autoSpaceDE w:val="0"/>
        <w:autoSpaceDN w:val="0"/>
        <w:adjustRightInd w:val="0"/>
        <w:spacing w:after="0" w:line="240" w:lineRule="auto"/>
        <w:ind w:firstLine="720"/>
        <w:jc w:val="both"/>
        <w:rPr>
          <w:rFonts w:ascii="Times New Roman" w:hAnsi="Times New Roman"/>
          <w:sz w:val="24"/>
          <w:szCs w:val="20"/>
        </w:rPr>
      </w:pPr>
    </w:p>
    <w:p w14:paraId="4C7FCF1B" w14:textId="77777777" w:rsidR="00226A30" w:rsidRPr="007947B4" w:rsidRDefault="00226A30" w:rsidP="00765240">
      <w:pPr>
        <w:widowControl w:val="0"/>
        <w:autoSpaceDE w:val="0"/>
        <w:autoSpaceDN w:val="0"/>
        <w:adjustRightInd w:val="0"/>
        <w:spacing w:after="0" w:line="240" w:lineRule="auto"/>
        <w:jc w:val="center"/>
        <w:rPr>
          <w:rFonts w:ascii="Times New Roman" w:hAnsi="Times New Roman"/>
          <w:b/>
          <w:sz w:val="24"/>
          <w:szCs w:val="20"/>
        </w:rPr>
      </w:pPr>
      <w:r w:rsidRPr="007947B4">
        <w:rPr>
          <w:rFonts w:ascii="Times New Roman" w:hAnsi="Times New Roman"/>
          <w:b/>
          <w:sz w:val="24"/>
          <w:szCs w:val="20"/>
        </w:rPr>
        <w:t>C</w:t>
      </w:r>
    </w:p>
    <w:p w14:paraId="5E391A98" w14:textId="77777777" w:rsidR="00226A30" w:rsidRDefault="00226A30" w:rsidP="007F7157">
      <w:pPr>
        <w:widowControl w:val="0"/>
        <w:autoSpaceDE w:val="0"/>
        <w:autoSpaceDN w:val="0"/>
        <w:adjustRightInd w:val="0"/>
        <w:spacing w:after="0" w:line="240" w:lineRule="auto"/>
        <w:ind w:firstLine="720"/>
        <w:jc w:val="both"/>
        <w:rPr>
          <w:rFonts w:ascii="Times New Roman" w:hAnsi="Times New Roman"/>
          <w:sz w:val="24"/>
          <w:szCs w:val="20"/>
        </w:rPr>
      </w:pPr>
    </w:p>
    <w:p w14:paraId="4FBE269D" w14:textId="0032A103" w:rsidR="00DD0389" w:rsidRDefault="00DD0389" w:rsidP="007F7157">
      <w:pPr>
        <w:widowControl w:val="0"/>
        <w:autoSpaceDE w:val="0"/>
        <w:autoSpaceDN w:val="0"/>
        <w:adjustRightInd w:val="0"/>
        <w:spacing w:after="0" w:line="240" w:lineRule="auto"/>
        <w:ind w:firstLine="720"/>
        <w:jc w:val="both"/>
        <w:rPr>
          <w:rFonts w:ascii="Times New Roman" w:hAnsi="Times New Roman"/>
          <w:sz w:val="24"/>
          <w:szCs w:val="20"/>
        </w:rPr>
      </w:pPr>
      <w:r w:rsidRPr="008642E3">
        <w:rPr>
          <w:rFonts w:ascii="Times New Roman" w:hAnsi="Times New Roman"/>
          <w:sz w:val="24"/>
          <w:szCs w:val="20"/>
        </w:rPr>
        <w:t xml:space="preserve">Although UT’s primary argument is that it need not point to any interest more specific than “the educational benefits of diversity,” it has—at various points in this litigation—identified four more specific goals: demographic parity, classroom diversity, </w:t>
      </w:r>
      <w:proofErr w:type="spellStart"/>
      <w:r w:rsidRPr="008642E3">
        <w:rPr>
          <w:rFonts w:ascii="Times New Roman" w:hAnsi="Times New Roman"/>
          <w:sz w:val="24"/>
          <w:szCs w:val="20"/>
        </w:rPr>
        <w:t>intraracial</w:t>
      </w:r>
      <w:proofErr w:type="spellEnd"/>
      <w:r w:rsidRPr="008642E3">
        <w:rPr>
          <w:rFonts w:ascii="Times New Roman" w:hAnsi="Times New Roman"/>
          <w:sz w:val="24"/>
          <w:szCs w:val="20"/>
        </w:rPr>
        <w:t xml:space="preserve"> diversity, and avoiding racial isolation. Neither UT nor the majority has demonstrated that any of these four goals provides a sufficient basis for satisfying strict scrutiny. And UT’s arguments to the contrary depend on a series of invidious assumptions. </w:t>
      </w:r>
    </w:p>
    <w:p w14:paraId="61313244" w14:textId="376252D0" w:rsidR="007947B4" w:rsidRPr="008642E3" w:rsidRDefault="007947B4" w:rsidP="007F7157">
      <w:pPr>
        <w:widowControl w:val="0"/>
        <w:autoSpaceDE w:val="0"/>
        <w:autoSpaceDN w:val="0"/>
        <w:adjustRightInd w:val="0"/>
        <w:spacing w:after="0" w:line="240" w:lineRule="auto"/>
        <w:ind w:firstLine="720"/>
        <w:jc w:val="both"/>
        <w:rPr>
          <w:rFonts w:ascii="Times New Roman" w:hAnsi="Times New Roman"/>
          <w:sz w:val="24"/>
          <w:szCs w:val="20"/>
        </w:rPr>
      </w:pPr>
    </w:p>
    <w:p w14:paraId="4CDC365E" w14:textId="520FD5EB" w:rsidR="00DD0389" w:rsidRDefault="00DD0389" w:rsidP="007947B4">
      <w:pPr>
        <w:widowControl w:val="0"/>
        <w:autoSpaceDE w:val="0"/>
        <w:autoSpaceDN w:val="0"/>
        <w:adjustRightInd w:val="0"/>
        <w:spacing w:after="0" w:line="240" w:lineRule="auto"/>
        <w:jc w:val="center"/>
        <w:rPr>
          <w:rFonts w:ascii="Times New Roman" w:hAnsi="Times New Roman"/>
          <w:b/>
          <w:sz w:val="24"/>
          <w:szCs w:val="20"/>
        </w:rPr>
      </w:pPr>
      <w:bookmarkStart w:id="32" w:name="co_anchor_Ie27a6b07c68d11e698dc8b09b4f04"/>
      <w:bookmarkEnd w:id="32"/>
      <w:r w:rsidRPr="007947B4">
        <w:rPr>
          <w:rFonts w:ascii="Times New Roman" w:hAnsi="Times New Roman"/>
          <w:b/>
          <w:sz w:val="24"/>
          <w:szCs w:val="20"/>
        </w:rPr>
        <w:t>1</w:t>
      </w:r>
    </w:p>
    <w:p w14:paraId="448E88D7" w14:textId="77777777" w:rsidR="007947B4" w:rsidRPr="007947B4" w:rsidRDefault="007947B4" w:rsidP="007947B4">
      <w:pPr>
        <w:widowControl w:val="0"/>
        <w:autoSpaceDE w:val="0"/>
        <w:autoSpaceDN w:val="0"/>
        <w:adjustRightInd w:val="0"/>
        <w:spacing w:after="0" w:line="240" w:lineRule="auto"/>
        <w:jc w:val="center"/>
        <w:rPr>
          <w:rFonts w:ascii="Times New Roman" w:hAnsi="Times New Roman"/>
          <w:b/>
          <w:sz w:val="24"/>
          <w:szCs w:val="20"/>
        </w:rPr>
      </w:pPr>
    </w:p>
    <w:p w14:paraId="371E8C1D" w14:textId="1F468DD2" w:rsidR="00DD0389" w:rsidRPr="008642E3" w:rsidRDefault="00DD0389" w:rsidP="00360080">
      <w:pPr>
        <w:widowControl w:val="0"/>
        <w:autoSpaceDE w:val="0"/>
        <w:autoSpaceDN w:val="0"/>
        <w:adjustRightInd w:val="0"/>
        <w:spacing w:after="0" w:line="240" w:lineRule="auto"/>
        <w:ind w:firstLine="720"/>
        <w:jc w:val="both"/>
        <w:rPr>
          <w:rFonts w:ascii="Times New Roman" w:hAnsi="Times New Roman"/>
          <w:sz w:val="24"/>
          <w:szCs w:val="20"/>
        </w:rPr>
      </w:pPr>
      <w:r w:rsidRPr="008642E3">
        <w:rPr>
          <w:rFonts w:ascii="Times New Roman" w:hAnsi="Times New Roman"/>
          <w:sz w:val="24"/>
          <w:szCs w:val="20"/>
        </w:rPr>
        <w:t>First, both UT and the majority cite demographic data as evidence that African–American and Hispanic students are “underrepresented” at UT and that racial preferences are necessary to compensate for this underrepresentation. But neither UT nor the majority is clear about the relationship between Texas demographics and UT’s interest in obtaining a critical mass.</w:t>
      </w:r>
      <w:r w:rsidR="00976352">
        <w:rPr>
          <w:rFonts w:ascii="Times New Roman" w:hAnsi="Times New Roman"/>
          <w:sz w:val="24"/>
          <w:szCs w:val="20"/>
        </w:rPr>
        <w:t xml:space="preserve"> . . .</w:t>
      </w:r>
    </w:p>
    <w:p w14:paraId="29F217D1" w14:textId="77777777" w:rsidR="00DD0389" w:rsidRPr="008642E3" w:rsidRDefault="00DD0389">
      <w:pPr>
        <w:widowControl w:val="0"/>
        <w:autoSpaceDE w:val="0"/>
        <w:autoSpaceDN w:val="0"/>
        <w:adjustRightInd w:val="0"/>
        <w:spacing w:after="0" w:line="240" w:lineRule="auto"/>
        <w:jc w:val="both"/>
        <w:rPr>
          <w:rFonts w:ascii="Times New Roman" w:hAnsi="Times New Roman"/>
          <w:sz w:val="24"/>
          <w:szCs w:val="20"/>
        </w:rPr>
      </w:pPr>
      <w:r w:rsidRPr="008642E3">
        <w:rPr>
          <w:rFonts w:ascii="Times New Roman" w:hAnsi="Times New Roman"/>
          <w:sz w:val="24"/>
          <w:szCs w:val="20"/>
        </w:rPr>
        <w:t> </w:t>
      </w:r>
    </w:p>
    <w:p w14:paraId="3BD1FD06" w14:textId="307246BE" w:rsidR="00DD0389" w:rsidRDefault="00DD0389" w:rsidP="007F7157">
      <w:pPr>
        <w:widowControl w:val="0"/>
        <w:autoSpaceDE w:val="0"/>
        <w:autoSpaceDN w:val="0"/>
        <w:adjustRightInd w:val="0"/>
        <w:spacing w:after="0" w:line="240" w:lineRule="auto"/>
        <w:ind w:firstLine="720"/>
        <w:jc w:val="both"/>
        <w:rPr>
          <w:rFonts w:ascii="Times New Roman" w:hAnsi="Times New Roman"/>
          <w:sz w:val="24"/>
          <w:szCs w:val="20"/>
        </w:rPr>
      </w:pPr>
      <w:r w:rsidRPr="008642E3">
        <w:rPr>
          <w:rFonts w:ascii="Times New Roman" w:hAnsi="Times New Roman"/>
          <w:sz w:val="24"/>
          <w:szCs w:val="20"/>
        </w:rPr>
        <w:t xml:space="preserve">To the extent that UT is pursuing parity with Texas demographics, that is nothing more than “outright racial balancing,” which this Court has time and again held “patently unconstitutional.” </w:t>
      </w:r>
      <w:r w:rsidRPr="008642E3">
        <w:rPr>
          <w:rFonts w:ascii="Times New Roman" w:hAnsi="Times New Roman"/>
          <w:i/>
          <w:iCs/>
          <w:sz w:val="24"/>
          <w:szCs w:val="20"/>
        </w:rPr>
        <w:t>Fisher I</w:t>
      </w:r>
      <w:r w:rsidRPr="008642E3">
        <w:rPr>
          <w:rFonts w:ascii="Times New Roman" w:hAnsi="Times New Roman"/>
          <w:sz w:val="24"/>
          <w:szCs w:val="20"/>
        </w:rPr>
        <w:t xml:space="preserve">; see </w:t>
      </w:r>
      <w:proofErr w:type="gramStart"/>
      <w:r w:rsidRPr="008642E3">
        <w:rPr>
          <w:rFonts w:ascii="Times New Roman" w:hAnsi="Times New Roman"/>
          <w:i/>
          <w:iCs/>
          <w:sz w:val="24"/>
          <w:szCs w:val="20"/>
        </w:rPr>
        <w:t>Grutter</w:t>
      </w:r>
      <w:r w:rsidR="007F7157" w:rsidRPr="00765240">
        <w:rPr>
          <w:rFonts w:ascii="Times New Roman" w:hAnsi="Times New Roman"/>
          <w:iCs/>
          <w:sz w:val="24"/>
          <w:szCs w:val="20"/>
        </w:rPr>
        <w:t>.</w:t>
      </w:r>
      <w:r w:rsidR="00EB56DF">
        <w:rPr>
          <w:rFonts w:ascii="Times New Roman" w:hAnsi="Times New Roman"/>
          <w:iCs/>
          <w:sz w:val="24"/>
          <w:szCs w:val="20"/>
        </w:rPr>
        <w:t xml:space="preserve"> . . .</w:t>
      </w:r>
      <w:proofErr w:type="gramEnd"/>
      <w:r w:rsidRPr="008642E3">
        <w:rPr>
          <w:rFonts w:ascii="Times New Roman" w:hAnsi="Times New Roman"/>
          <w:sz w:val="24"/>
          <w:szCs w:val="20"/>
        </w:rPr>
        <w:t xml:space="preserve"> And as we held in </w:t>
      </w:r>
      <w:r w:rsidRPr="008642E3">
        <w:rPr>
          <w:rFonts w:ascii="Times New Roman" w:hAnsi="Times New Roman"/>
          <w:i/>
          <w:iCs/>
          <w:sz w:val="24"/>
          <w:szCs w:val="20"/>
        </w:rPr>
        <w:t>Fisher I,</w:t>
      </w:r>
      <w:r w:rsidRPr="008642E3">
        <w:rPr>
          <w:rFonts w:ascii="Times New Roman" w:hAnsi="Times New Roman"/>
          <w:sz w:val="24"/>
          <w:szCs w:val="20"/>
        </w:rPr>
        <w:t xml:space="preserve"> </w:t>
      </w:r>
      <w:proofErr w:type="gramStart"/>
      <w:r w:rsidRPr="008642E3">
        <w:rPr>
          <w:rFonts w:ascii="Times New Roman" w:hAnsi="Times New Roman"/>
          <w:sz w:val="24"/>
          <w:szCs w:val="20"/>
        </w:rPr>
        <w:t>“ ‘</w:t>
      </w:r>
      <w:proofErr w:type="gramEnd"/>
      <w:r w:rsidRPr="008642E3">
        <w:rPr>
          <w:rFonts w:ascii="Times New Roman" w:hAnsi="Times New Roman"/>
          <w:sz w:val="24"/>
          <w:szCs w:val="20"/>
        </w:rPr>
        <w:t>[r]</w:t>
      </w:r>
      <w:proofErr w:type="spellStart"/>
      <w:r w:rsidRPr="008642E3">
        <w:rPr>
          <w:rFonts w:ascii="Times New Roman" w:hAnsi="Times New Roman"/>
          <w:sz w:val="24"/>
          <w:szCs w:val="20"/>
        </w:rPr>
        <w:t>acial</w:t>
      </w:r>
      <w:proofErr w:type="spellEnd"/>
      <w:r w:rsidRPr="008642E3">
        <w:rPr>
          <w:rFonts w:ascii="Times New Roman" w:hAnsi="Times New Roman"/>
          <w:sz w:val="24"/>
          <w:szCs w:val="20"/>
        </w:rPr>
        <w:t xml:space="preserve"> balancing is not transformed from “patently unconstitutional” to a compelling state interest simply by relabeling it “racial diversity.” ’ ” (quoting </w:t>
      </w:r>
      <w:r w:rsidRPr="00765240">
        <w:rPr>
          <w:rFonts w:ascii="Times New Roman" w:hAnsi="Times New Roman"/>
          <w:iCs/>
          <w:sz w:val="24"/>
          <w:szCs w:val="20"/>
        </w:rPr>
        <w:t>Parents Involved</w:t>
      </w:r>
      <w:r w:rsidR="001F7E8E">
        <w:rPr>
          <w:rFonts w:ascii="Times New Roman" w:hAnsi="Times New Roman"/>
          <w:iCs/>
          <w:sz w:val="24"/>
          <w:szCs w:val="20"/>
        </w:rPr>
        <w:t xml:space="preserve"> in Community Schools v. Seattle School Dist. No. 1 (2007)</w:t>
      </w:r>
      <w:r w:rsidRPr="008642E3">
        <w:rPr>
          <w:rFonts w:ascii="Times New Roman" w:hAnsi="Times New Roman"/>
          <w:sz w:val="24"/>
          <w:szCs w:val="20"/>
        </w:rPr>
        <w:t>)</w:t>
      </w:r>
      <w:r w:rsidR="00EB56DF">
        <w:rPr>
          <w:rFonts w:ascii="Times New Roman" w:hAnsi="Times New Roman"/>
          <w:sz w:val="24"/>
          <w:szCs w:val="20"/>
        </w:rPr>
        <w:t>. . . .</w:t>
      </w:r>
      <w:bookmarkStart w:id="33" w:name="co_anchor_Ie27a6b08c68d11e698dc8b09b4f04"/>
      <w:bookmarkEnd w:id="33"/>
    </w:p>
    <w:p w14:paraId="2B10BE2B" w14:textId="77777777" w:rsidR="007947B4" w:rsidRPr="008642E3" w:rsidRDefault="007947B4" w:rsidP="007F7157">
      <w:pPr>
        <w:widowControl w:val="0"/>
        <w:autoSpaceDE w:val="0"/>
        <w:autoSpaceDN w:val="0"/>
        <w:adjustRightInd w:val="0"/>
        <w:spacing w:after="0" w:line="240" w:lineRule="auto"/>
        <w:ind w:firstLine="720"/>
        <w:jc w:val="both"/>
        <w:rPr>
          <w:rFonts w:ascii="Times New Roman" w:hAnsi="Times New Roman"/>
          <w:sz w:val="24"/>
          <w:szCs w:val="20"/>
        </w:rPr>
      </w:pPr>
    </w:p>
    <w:p w14:paraId="01E4AB92" w14:textId="5A1C64D7" w:rsidR="00DD0389" w:rsidRPr="007947B4" w:rsidRDefault="00DD0389" w:rsidP="007947B4">
      <w:pPr>
        <w:widowControl w:val="0"/>
        <w:autoSpaceDE w:val="0"/>
        <w:autoSpaceDN w:val="0"/>
        <w:adjustRightInd w:val="0"/>
        <w:spacing w:after="0" w:line="240" w:lineRule="auto"/>
        <w:jc w:val="center"/>
        <w:rPr>
          <w:rFonts w:ascii="Times New Roman" w:hAnsi="Times New Roman"/>
          <w:b/>
          <w:sz w:val="24"/>
          <w:szCs w:val="20"/>
        </w:rPr>
      </w:pPr>
      <w:r w:rsidRPr="007947B4">
        <w:rPr>
          <w:rFonts w:ascii="Times New Roman" w:hAnsi="Times New Roman"/>
          <w:b/>
          <w:sz w:val="24"/>
          <w:szCs w:val="20"/>
        </w:rPr>
        <w:t>2</w:t>
      </w:r>
    </w:p>
    <w:p w14:paraId="0E5564F9" w14:textId="77777777" w:rsidR="007947B4" w:rsidRPr="008642E3" w:rsidRDefault="007947B4" w:rsidP="007947B4">
      <w:pPr>
        <w:widowControl w:val="0"/>
        <w:autoSpaceDE w:val="0"/>
        <w:autoSpaceDN w:val="0"/>
        <w:adjustRightInd w:val="0"/>
        <w:spacing w:after="0" w:line="240" w:lineRule="auto"/>
        <w:jc w:val="center"/>
        <w:rPr>
          <w:rFonts w:ascii="Times New Roman" w:hAnsi="Times New Roman"/>
          <w:sz w:val="24"/>
          <w:szCs w:val="20"/>
        </w:rPr>
      </w:pPr>
    </w:p>
    <w:p w14:paraId="3C96B217" w14:textId="4498DD5C" w:rsidR="00DD0389" w:rsidRPr="008642E3" w:rsidRDefault="00DD0389" w:rsidP="00360080">
      <w:pPr>
        <w:widowControl w:val="0"/>
        <w:autoSpaceDE w:val="0"/>
        <w:autoSpaceDN w:val="0"/>
        <w:adjustRightInd w:val="0"/>
        <w:spacing w:after="0" w:line="240" w:lineRule="auto"/>
        <w:ind w:firstLine="720"/>
        <w:jc w:val="both"/>
        <w:rPr>
          <w:rFonts w:ascii="Times New Roman" w:hAnsi="Times New Roman"/>
          <w:sz w:val="24"/>
          <w:szCs w:val="20"/>
        </w:rPr>
      </w:pPr>
      <w:r w:rsidRPr="008642E3">
        <w:rPr>
          <w:rFonts w:ascii="Times New Roman" w:hAnsi="Times New Roman"/>
          <w:sz w:val="24"/>
          <w:szCs w:val="20"/>
        </w:rPr>
        <w:t>The other major explanation UT offered in the Proposal was its desire to promote classroom diversity</w:t>
      </w:r>
      <w:r w:rsidR="00EB56DF">
        <w:rPr>
          <w:rFonts w:ascii="Times New Roman" w:hAnsi="Times New Roman"/>
          <w:sz w:val="24"/>
          <w:szCs w:val="20"/>
        </w:rPr>
        <w:t>.</w:t>
      </w:r>
      <w:r w:rsidR="007F7157">
        <w:rPr>
          <w:rFonts w:ascii="Times New Roman" w:hAnsi="Times New Roman"/>
          <w:sz w:val="24"/>
          <w:szCs w:val="20"/>
        </w:rPr>
        <w:t xml:space="preserve"> [I]</w:t>
      </w:r>
      <w:r w:rsidRPr="008642E3">
        <w:rPr>
          <w:rFonts w:ascii="Times New Roman" w:hAnsi="Times New Roman"/>
          <w:sz w:val="24"/>
          <w:szCs w:val="20"/>
        </w:rPr>
        <w:t>f UT is truly seeking to expose its students to a diversity of ideas and perspectives, its policy is poorly tailored to serve that end. UT’s own study</w:t>
      </w:r>
      <w:r w:rsidR="00EB56DF">
        <w:rPr>
          <w:rFonts w:ascii="Times New Roman" w:hAnsi="Times New Roman"/>
          <w:sz w:val="24"/>
          <w:szCs w:val="20"/>
        </w:rPr>
        <w:t xml:space="preserve"> . . . </w:t>
      </w:r>
      <w:r w:rsidRPr="008642E3">
        <w:rPr>
          <w:rFonts w:ascii="Times New Roman" w:hAnsi="Times New Roman"/>
          <w:sz w:val="24"/>
          <w:szCs w:val="20"/>
        </w:rPr>
        <w:t xml:space="preserve">demonstrated that classroom diversity was more lacking for students classified as Asian–American than for those </w:t>
      </w:r>
      <w:r w:rsidRPr="008642E3">
        <w:rPr>
          <w:rFonts w:ascii="Times New Roman" w:hAnsi="Times New Roman"/>
          <w:sz w:val="24"/>
          <w:szCs w:val="20"/>
        </w:rPr>
        <w:lastRenderedPageBreak/>
        <w:t xml:space="preserve">classified as Hispanic. But the UT plan discriminates </w:t>
      </w:r>
      <w:r w:rsidRPr="008642E3">
        <w:rPr>
          <w:rFonts w:ascii="Times New Roman" w:hAnsi="Times New Roman"/>
          <w:i/>
          <w:iCs/>
          <w:sz w:val="24"/>
          <w:szCs w:val="20"/>
        </w:rPr>
        <w:t xml:space="preserve">against </w:t>
      </w:r>
      <w:r w:rsidRPr="008642E3">
        <w:rPr>
          <w:rFonts w:ascii="Times New Roman" w:hAnsi="Times New Roman"/>
          <w:sz w:val="24"/>
          <w:szCs w:val="20"/>
        </w:rPr>
        <w:t>Asian–American students</w:t>
      </w:r>
      <w:r w:rsidR="00EB56DF">
        <w:rPr>
          <w:rFonts w:ascii="Times New Roman" w:hAnsi="Times New Roman"/>
          <w:sz w:val="24"/>
          <w:szCs w:val="20"/>
        </w:rPr>
        <w:t>. . . .</w:t>
      </w:r>
    </w:p>
    <w:p w14:paraId="7C3B0315" w14:textId="77777777" w:rsidR="00DD0389" w:rsidRPr="008642E3" w:rsidRDefault="00DD0389">
      <w:pPr>
        <w:widowControl w:val="0"/>
        <w:autoSpaceDE w:val="0"/>
        <w:autoSpaceDN w:val="0"/>
        <w:adjustRightInd w:val="0"/>
        <w:spacing w:after="0" w:line="240" w:lineRule="auto"/>
        <w:jc w:val="both"/>
        <w:rPr>
          <w:rFonts w:ascii="Times New Roman" w:hAnsi="Times New Roman"/>
          <w:sz w:val="24"/>
          <w:szCs w:val="20"/>
        </w:rPr>
      </w:pPr>
      <w:r w:rsidRPr="008642E3">
        <w:rPr>
          <w:rFonts w:ascii="Times New Roman" w:hAnsi="Times New Roman"/>
          <w:sz w:val="24"/>
          <w:szCs w:val="20"/>
        </w:rPr>
        <w:t> </w:t>
      </w:r>
    </w:p>
    <w:p w14:paraId="7EF22E97" w14:textId="77777777" w:rsidR="00DD0389" w:rsidRPr="008642E3" w:rsidRDefault="00DD0389" w:rsidP="00360080">
      <w:pPr>
        <w:widowControl w:val="0"/>
        <w:autoSpaceDE w:val="0"/>
        <w:autoSpaceDN w:val="0"/>
        <w:adjustRightInd w:val="0"/>
        <w:spacing w:after="0" w:line="240" w:lineRule="auto"/>
        <w:ind w:firstLine="720"/>
        <w:jc w:val="both"/>
        <w:rPr>
          <w:rFonts w:ascii="Times New Roman" w:hAnsi="Times New Roman"/>
          <w:sz w:val="24"/>
          <w:szCs w:val="20"/>
        </w:rPr>
      </w:pPr>
      <w:r w:rsidRPr="008642E3">
        <w:rPr>
          <w:rFonts w:ascii="Times New Roman" w:hAnsi="Times New Roman"/>
          <w:sz w:val="24"/>
          <w:szCs w:val="20"/>
        </w:rPr>
        <w:t>While both the majority and the Fifth Circuit rely on UT’s classroom study</w:t>
      </w:r>
      <w:r w:rsidR="008C4D8D" w:rsidRPr="008642E3">
        <w:rPr>
          <w:rFonts w:ascii="Times New Roman" w:hAnsi="Times New Roman"/>
          <w:sz w:val="24"/>
          <w:szCs w:val="20"/>
        </w:rPr>
        <w:t>,</w:t>
      </w:r>
      <w:r w:rsidRPr="008642E3">
        <w:rPr>
          <w:rFonts w:ascii="Times New Roman" w:hAnsi="Times New Roman"/>
          <w:sz w:val="24"/>
          <w:szCs w:val="20"/>
        </w:rPr>
        <w:t xml:space="preserve"> they completely ignore its finding that Hispanics are better represented than Asian–Americans in UT classrooms. In fact, they act almost as if Asian–American students do not exist. Only the District</w:t>
      </w:r>
      <w:bookmarkStart w:id="34" w:name="co_pp_sp_708_2228_1"/>
      <w:bookmarkEnd w:id="34"/>
      <w:r w:rsidRPr="008642E3">
        <w:rPr>
          <w:rFonts w:ascii="Times New Roman" w:hAnsi="Times New Roman"/>
          <w:sz w:val="24"/>
          <w:szCs w:val="20"/>
        </w:rPr>
        <w:t xml:space="preserve"> Court acknowledged the impact of UT’s policy on Asian–American students. But it brushed aside this impact, concluding—astoundingly—that UT can pick and choose which racial and ethnic groups it would like to favor. According to the District Court, “nothing in </w:t>
      </w:r>
      <w:r w:rsidRPr="008642E3">
        <w:rPr>
          <w:rFonts w:ascii="Times New Roman" w:hAnsi="Times New Roman"/>
          <w:i/>
          <w:iCs/>
          <w:sz w:val="24"/>
          <w:szCs w:val="20"/>
        </w:rPr>
        <w:t>Grutter</w:t>
      </w:r>
      <w:r w:rsidRPr="008642E3">
        <w:rPr>
          <w:rFonts w:ascii="Times New Roman" w:hAnsi="Times New Roman"/>
          <w:sz w:val="24"/>
          <w:szCs w:val="20"/>
        </w:rPr>
        <w:t xml:space="preserve"> requires a university to give equal preference to every minority group,” and UT is allowed “to exercise its discretion in determining which minority groups should benefit from the consideration of race.”</w:t>
      </w:r>
    </w:p>
    <w:p w14:paraId="2BF261B3" w14:textId="77777777" w:rsidR="00DD0389" w:rsidRPr="008642E3" w:rsidRDefault="00DD0389">
      <w:pPr>
        <w:widowControl w:val="0"/>
        <w:autoSpaceDE w:val="0"/>
        <w:autoSpaceDN w:val="0"/>
        <w:adjustRightInd w:val="0"/>
        <w:spacing w:after="0" w:line="240" w:lineRule="auto"/>
        <w:jc w:val="both"/>
        <w:rPr>
          <w:rFonts w:ascii="Times New Roman" w:hAnsi="Times New Roman"/>
          <w:sz w:val="24"/>
          <w:szCs w:val="20"/>
        </w:rPr>
      </w:pPr>
      <w:r w:rsidRPr="008642E3">
        <w:rPr>
          <w:rFonts w:ascii="Times New Roman" w:hAnsi="Times New Roman"/>
          <w:sz w:val="24"/>
          <w:szCs w:val="20"/>
        </w:rPr>
        <w:t> </w:t>
      </w:r>
    </w:p>
    <w:p w14:paraId="0C9AD9D6" w14:textId="7BA897C7" w:rsidR="00DD0389" w:rsidRPr="008642E3" w:rsidRDefault="00DD0389" w:rsidP="00360080">
      <w:pPr>
        <w:widowControl w:val="0"/>
        <w:autoSpaceDE w:val="0"/>
        <w:autoSpaceDN w:val="0"/>
        <w:adjustRightInd w:val="0"/>
        <w:spacing w:after="0" w:line="240" w:lineRule="auto"/>
        <w:ind w:firstLine="720"/>
        <w:jc w:val="both"/>
        <w:rPr>
          <w:rFonts w:ascii="Times New Roman" w:hAnsi="Times New Roman"/>
          <w:sz w:val="24"/>
          <w:szCs w:val="20"/>
        </w:rPr>
      </w:pPr>
      <w:r w:rsidRPr="008642E3">
        <w:rPr>
          <w:rFonts w:ascii="Times New Roman" w:hAnsi="Times New Roman"/>
          <w:sz w:val="24"/>
          <w:szCs w:val="20"/>
        </w:rPr>
        <w:t>This reasoning, which the majority implicitly accepts by blessing UT’s reliance on the classroom study, places the Court on the “tortuous” path of “</w:t>
      </w:r>
      <w:proofErr w:type="spellStart"/>
      <w:r w:rsidRPr="008642E3">
        <w:rPr>
          <w:rFonts w:ascii="Times New Roman" w:hAnsi="Times New Roman"/>
          <w:sz w:val="24"/>
          <w:szCs w:val="20"/>
        </w:rPr>
        <w:t>decid</w:t>
      </w:r>
      <w:proofErr w:type="spellEnd"/>
      <w:r w:rsidRPr="008642E3">
        <w:rPr>
          <w:rFonts w:ascii="Times New Roman" w:hAnsi="Times New Roman"/>
          <w:sz w:val="24"/>
          <w:szCs w:val="20"/>
        </w:rPr>
        <w:t xml:space="preserve">[ing] which races to favor.” </w:t>
      </w:r>
      <w:r w:rsidRPr="00765240">
        <w:rPr>
          <w:rFonts w:ascii="Times New Roman" w:hAnsi="Times New Roman"/>
          <w:iCs/>
          <w:sz w:val="24"/>
          <w:szCs w:val="20"/>
        </w:rPr>
        <w:t>Metro Broadcasting</w:t>
      </w:r>
      <w:r w:rsidR="00EB56DF">
        <w:rPr>
          <w:rFonts w:ascii="Times New Roman" w:hAnsi="Times New Roman"/>
          <w:iCs/>
          <w:sz w:val="24"/>
          <w:szCs w:val="20"/>
        </w:rPr>
        <w:t>, Inc. v. FCC (1990)</w:t>
      </w:r>
      <w:r w:rsidRPr="008642E3">
        <w:rPr>
          <w:rFonts w:ascii="Times New Roman" w:hAnsi="Times New Roman"/>
          <w:sz w:val="24"/>
          <w:szCs w:val="20"/>
        </w:rPr>
        <w:t xml:space="preserve"> (K</w:t>
      </w:r>
      <w:r w:rsidR="00765240">
        <w:rPr>
          <w:rFonts w:ascii="Times New Roman" w:hAnsi="Times New Roman"/>
          <w:sz w:val="24"/>
          <w:szCs w:val="20"/>
        </w:rPr>
        <w:t>ennedy</w:t>
      </w:r>
      <w:r w:rsidRPr="008642E3">
        <w:rPr>
          <w:rFonts w:ascii="Times New Roman" w:hAnsi="Times New Roman"/>
          <w:sz w:val="24"/>
          <w:szCs w:val="20"/>
        </w:rPr>
        <w:t xml:space="preserve">, J., dissenting). And the Court’s willingness to allow this “discrimination against individuals of Asian descent in UT admissions is particularly troubling, in light of the long history of discrimination against Asian Americans, especially in education.” </w:t>
      </w:r>
      <w:r w:rsidRPr="00765240">
        <w:rPr>
          <w:rFonts w:ascii="Times New Roman" w:hAnsi="Times New Roman"/>
          <w:iCs/>
          <w:sz w:val="24"/>
          <w:szCs w:val="20"/>
        </w:rPr>
        <w:t xml:space="preserve">Gong </w:t>
      </w:r>
      <w:proofErr w:type="spellStart"/>
      <w:r w:rsidRPr="00765240">
        <w:rPr>
          <w:rFonts w:ascii="Times New Roman" w:hAnsi="Times New Roman"/>
          <w:iCs/>
          <w:sz w:val="24"/>
          <w:szCs w:val="20"/>
        </w:rPr>
        <w:t>Lum</w:t>
      </w:r>
      <w:proofErr w:type="spellEnd"/>
      <w:r w:rsidRPr="00765240">
        <w:rPr>
          <w:rFonts w:ascii="Times New Roman" w:hAnsi="Times New Roman"/>
          <w:iCs/>
          <w:sz w:val="24"/>
          <w:szCs w:val="20"/>
        </w:rPr>
        <w:t xml:space="preserve"> v. Rice</w:t>
      </w:r>
      <w:r w:rsidRPr="008642E3">
        <w:rPr>
          <w:rFonts w:ascii="Times New Roman" w:hAnsi="Times New Roman"/>
          <w:sz w:val="24"/>
          <w:szCs w:val="20"/>
        </w:rPr>
        <w:t xml:space="preserve"> (1927) (holding that a 9–year–old Chinese–American girl could be denied entry to a “white” school because she was “a member of the Mongolian or yellow race”). In sum, “[w]</w:t>
      </w:r>
      <w:proofErr w:type="spellStart"/>
      <w:r w:rsidRPr="008642E3">
        <w:rPr>
          <w:rFonts w:ascii="Times New Roman" w:hAnsi="Times New Roman"/>
          <w:sz w:val="24"/>
          <w:szCs w:val="20"/>
        </w:rPr>
        <w:t>hile</w:t>
      </w:r>
      <w:proofErr w:type="spellEnd"/>
      <w:r w:rsidRPr="008642E3">
        <w:rPr>
          <w:rFonts w:ascii="Times New Roman" w:hAnsi="Times New Roman"/>
          <w:sz w:val="24"/>
          <w:szCs w:val="20"/>
        </w:rPr>
        <w:t xml:space="preserve"> the Court repeatedly refers to the preferences as favoring ‘minorities,’ .</w:t>
      </w:r>
      <w:r w:rsidR="000F325F">
        <w:rPr>
          <w:rFonts w:ascii="Times New Roman" w:hAnsi="Times New Roman"/>
          <w:sz w:val="24"/>
          <w:szCs w:val="20"/>
        </w:rPr>
        <w:t xml:space="preserve"> </w:t>
      </w:r>
      <w:r w:rsidRPr="008642E3">
        <w:rPr>
          <w:rFonts w:ascii="Times New Roman" w:hAnsi="Times New Roman"/>
          <w:sz w:val="24"/>
          <w:szCs w:val="20"/>
        </w:rPr>
        <w:t>.</w:t>
      </w:r>
      <w:r w:rsidR="000F325F">
        <w:rPr>
          <w:rFonts w:ascii="Times New Roman" w:hAnsi="Times New Roman"/>
          <w:sz w:val="24"/>
          <w:szCs w:val="20"/>
        </w:rPr>
        <w:t xml:space="preserve"> </w:t>
      </w:r>
      <w:r w:rsidRPr="008642E3">
        <w:rPr>
          <w:rFonts w:ascii="Times New Roman" w:hAnsi="Times New Roman"/>
          <w:sz w:val="24"/>
          <w:szCs w:val="20"/>
        </w:rPr>
        <w:t xml:space="preserve">. it must be emphasized that the discriminatory policies upheld today operate to exclude” Asian–American students, who “have not made [UT’s] list” of favored groups. </w:t>
      </w:r>
      <w:r w:rsidRPr="008642E3">
        <w:rPr>
          <w:rFonts w:ascii="Times New Roman" w:hAnsi="Times New Roman"/>
          <w:i/>
          <w:iCs/>
          <w:sz w:val="24"/>
          <w:szCs w:val="20"/>
        </w:rPr>
        <w:t>Metro Broadcasting</w:t>
      </w:r>
      <w:r w:rsidRPr="008642E3">
        <w:rPr>
          <w:rFonts w:ascii="Times New Roman" w:hAnsi="Times New Roman"/>
          <w:sz w:val="24"/>
          <w:szCs w:val="20"/>
        </w:rPr>
        <w:t xml:space="preserve"> (K</w:t>
      </w:r>
      <w:r w:rsidR="00765240">
        <w:rPr>
          <w:rFonts w:ascii="Times New Roman" w:hAnsi="Times New Roman"/>
          <w:sz w:val="24"/>
          <w:szCs w:val="20"/>
        </w:rPr>
        <w:t>ennedy</w:t>
      </w:r>
      <w:r w:rsidRPr="008642E3">
        <w:rPr>
          <w:rFonts w:ascii="Times New Roman" w:hAnsi="Times New Roman"/>
          <w:sz w:val="24"/>
          <w:szCs w:val="20"/>
        </w:rPr>
        <w:t>, J., dissenting).</w:t>
      </w:r>
    </w:p>
    <w:p w14:paraId="2BA396FF" w14:textId="77777777" w:rsidR="00DD0389" w:rsidRPr="008642E3" w:rsidRDefault="00DD0389">
      <w:pPr>
        <w:widowControl w:val="0"/>
        <w:autoSpaceDE w:val="0"/>
        <w:autoSpaceDN w:val="0"/>
        <w:adjustRightInd w:val="0"/>
        <w:spacing w:after="0" w:line="240" w:lineRule="auto"/>
        <w:jc w:val="both"/>
        <w:rPr>
          <w:rFonts w:ascii="Times New Roman" w:hAnsi="Times New Roman"/>
          <w:sz w:val="24"/>
          <w:szCs w:val="20"/>
        </w:rPr>
      </w:pPr>
      <w:r w:rsidRPr="008642E3">
        <w:rPr>
          <w:rFonts w:ascii="Times New Roman" w:hAnsi="Times New Roman"/>
          <w:sz w:val="24"/>
          <w:szCs w:val="20"/>
        </w:rPr>
        <w:t> </w:t>
      </w:r>
    </w:p>
    <w:p w14:paraId="3DE48D94" w14:textId="77777777" w:rsidR="00DD0389" w:rsidRPr="008642E3" w:rsidRDefault="00DD0389" w:rsidP="00360080">
      <w:pPr>
        <w:widowControl w:val="0"/>
        <w:autoSpaceDE w:val="0"/>
        <w:autoSpaceDN w:val="0"/>
        <w:adjustRightInd w:val="0"/>
        <w:spacing w:after="0" w:line="240" w:lineRule="auto"/>
        <w:ind w:firstLine="720"/>
        <w:jc w:val="both"/>
        <w:rPr>
          <w:rFonts w:ascii="Times New Roman" w:hAnsi="Times New Roman"/>
          <w:sz w:val="24"/>
          <w:szCs w:val="20"/>
        </w:rPr>
      </w:pPr>
      <w:r w:rsidRPr="008642E3">
        <w:rPr>
          <w:rFonts w:ascii="Times New Roman" w:hAnsi="Times New Roman"/>
          <w:sz w:val="24"/>
          <w:szCs w:val="20"/>
        </w:rPr>
        <w:t>Perhaps the majority finds discrimination against Asian–American students benign, since Asian–Americans are “</w:t>
      </w:r>
      <w:proofErr w:type="gramStart"/>
      <w:r w:rsidRPr="008642E3">
        <w:rPr>
          <w:rFonts w:ascii="Times New Roman" w:hAnsi="Times New Roman"/>
          <w:i/>
          <w:iCs/>
          <w:sz w:val="24"/>
          <w:szCs w:val="20"/>
        </w:rPr>
        <w:t>overrepresented</w:t>
      </w:r>
      <w:r w:rsidRPr="008642E3">
        <w:rPr>
          <w:rFonts w:ascii="Times New Roman" w:hAnsi="Times New Roman"/>
          <w:sz w:val="24"/>
          <w:szCs w:val="20"/>
        </w:rPr>
        <w:t xml:space="preserve"> ”</w:t>
      </w:r>
      <w:proofErr w:type="gramEnd"/>
      <w:r w:rsidRPr="008642E3">
        <w:rPr>
          <w:rFonts w:ascii="Times New Roman" w:hAnsi="Times New Roman"/>
          <w:sz w:val="24"/>
          <w:szCs w:val="20"/>
        </w:rPr>
        <w:t xml:space="preserve"> at UT. But “[h]</w:t>
      </w:r>
      <w:proofErr w:type="spellStart"/>
      <w:r w:rsidRPr="008642E3">
        <w:rPr>
          <w:rFonts w:ascii="Times New Roman" w:hAnsi="Times New Roman"/>
          <w:sz w:val="24"/>
          <w:szCs w:val="20"/>
        </w:rPr>
        <w:t>istory</w:t>
      </w:r>
      <w:proofErr w:type="spellEnd"/>
      <w:r w:rsidRPr="008642E3">
        <w:rPr>
          <w:rFonts w:ascii="Times New Roman" w:hAnsi="Times New Roman"/>
          <w:sz w:val="24"/>
          <w:szCs w:val="20"/>
        </w:rPr>
        <w:t xml:space="preserve"> should teach greater humility.” </w:t>
      </w:r>
      <w:r w:rsidR="0002143E" w:rsidRPr="008642E3">
        <w:rPr>
          <w:rFonts w:ascii="Times New Roman" w:hAnsi="Times New Roman"/>
          <w:i/>
          <w:iCs/>
          <w:sz w:val="24"/>
          <w:szCs w:val="20"/>
        </w:rPr>
        <w:t>Metro Broadcasting</w:t>
      </w:r>
      <w:r w:rsidRPr="008642E3">
        <w:rPr>
          <w:rFonts w:ascii="Times New Roman" w:hAnsi="Times New Roman"/>
          <w:sz w:val="24"/>
          <w:szCs w:val="20"/>
        </w:rPr>
        <w:t xml:space="preserve"> (O’Connor, J., dissenting)</w:t>
      </w:r>
      <w:r w:rsidR="007F7157">
        <w:rPr>
          <w:rFonts w:ascii="Times New Roman" w:hAnsi="Times New Roman"/>
          <w:sz w:val="24"/>
          <w:szCs w:val="20"/>
        </w:rPr>
        <w:t>….</w:t>
      </w:r>
    </w:p>
    <w:p w14:paraId="0418318C" w14:textId="77777777" w:rsidR="00DD0389" w:rsidRPr="008642E3" w:rsidRDefault="00DD0389">
      <w:pPr>
        <w:widowControl w:val="0"/>
        <w:autoSpaceDE w:val="0"/>
        <w:autoSpaceDN w:val="0"/>
        <w:adjustRightInd w:val="0"/>
        <w:spacing w:after="0" w:line="240" w:lineRule="auto"/>
        <w:jc w:val="both"/>
        <w:rPr>
          <w:rFonts w:ascii="Times New Roman" w:hAnsi="Times New Roman"/>
          <w:sz w:val="24"/>
          <w:szCs w:val="20"/>
        </w:rPr>
      </w:pPr>
      <w:r w:rsidRPr="008642E3">
        <w:rPr>
          <w:rFonts w:ascii="Times New Roman" w:hAnsi="Times New Roman"/>
          <w:sz w:val="24"/>
          <w:szCs w:val="20"/>
        </w:rPr>
        <w:t> </w:t>
      </w:r>
    </w:p>
    <w:p w14:paraId="2F3185FA" w14:textId="631AC216" w:rsidR="00DD0389" w:rsidRDefault="00DD0389" w:rsidP="007F7157">
      <w:pPr>
        <w:widowControl w:val="0"/>
        <w:autoSpaceDE w:val="0"/>
        <w:autoSpaceDN w:val="0"/>
        <w:adjustRightInd w:val="0"/>
        <w:spacing w:after="0" w:line="240" w:lineRule="auto"/>
        <w:ind w:firstLine="720"/>
        <w:jc w:val="both"/>
        <w:rPr>
          <w:rFonts w:ascii="Times New Roman" w:hAnsi="Times New Roman"/>
          <w:sz w:val="24"/>
          <w:szCs w:val="20"/>
        </w:rPr>
      </w:pPr>
      <w:r w:rsidRPr="008642E3">
        <w:rPr>
          <w:rFonts w:ascii="Times New Roman" w:hAnsi="Times New Roman"/>
          <w:sz w:val="24"/>
          <w:szCs w:val="20"/>
        </w:rPr>
        <w:t>In addition to demonstrating that UT discriminates against Asian–American students, the classroom study also exhibits UT’s use of a few crude, overly simplistic racial and ethnic categories</w:t>
      </w:r>
      <w:r w:rsidR="007F7157">
        <w:rPr>
          <w:rFonts w:ascii="Times New Roman" w:hAnsi="Times New Roman"/>
          <w:sz w:val="24"/>
          <w:szCs w:val="20"/>
        </w:rPr>
        <w:t xml:space="preserve">…. </w:t>
      </w:r>
      <w:r w:rsidRPr="008642E3">
        <w:rPr>
          <w:rFonts w:ascii="Times New Roman" w:hAnsi="Times New Roman"/>
          <w:sz w:val="24"/>
          <w:szCs w:val="20"/>
        </w:rPr>
        <w:t>For example, students labeled “Asian American,” seemingly include “individuals of Chinese, Japanese, Korean, Vietnamese, Cambodian, Hmong, Indian and other backgrounds comprising roughly 60% of the world’s population</w:t>
      </w:r>
      <w:r w:rsidR="00976352">
        <w:rPr>
          <w:rFonts w:ascii="Times New Roman" w:hAnsi="Times New Roman"/>
          <w:sz w:val="24"/>
          <w:szCs w:val="20"/>
        </w:rPr>
        <w:t>.</w:t>
      </w:r>
      <w:r w:rsidRPr="008642E3">
        <w:rPr>
          <w:rFonts w:ascii="Times New Roman" w:hAnsi="Times New Roman"/>
          <w:sz w:val="24"/>
          <w:szCs w:val="20"/>
        </w:rPr>
        <w:t xml:space="preserve">” </w:t>
      </w:r>
      <w:bookmarkStart w:id="35" w:name="co_footnoteReference_B00762039223800_ID0"/>
      <w:bookmarkEnd w:id="35"/>
      <w:r w:rsidRPr="008642E3">
        <w:rPr>
          <w:rFonts w:ascii="Times New Roman" w:hAnsi="Times New Roman"/>
          <w:sz w:val="24"/>
          <w:szCs w:val="20"/>
        </w:rPr>
        <w:t>It would be ludicrous to suggest that all of these students have similar backgrounds and similar ideas and experiences to share. So why has UT lumped them together and concluded that it is appropriate to discriminate against Asian–American students because they are “overrepresented” in the UT student body? UT has no good answer. And UT makes no effort to ensure that it has a critical mass of, say, “Filipino Americans” or “Cambodian Americans.” As long as there are a sufficient number of “Asian Americans,” UT is apparently satisfied</w:t>
      </w:r>
      <w:r w:rsidR="007F7157">
        <w:rPr>
          <w:rFonts w:ascii="Times New Roman" w:hAnsi="Times New Roman"/>
          <w:sz w:val="24"/>
          <w:szCs w:val="20"/>
        </w:rPr>
        <w:t>….</w:t>
      </w:r>
    </w:p>
    <w:p w14:paraId="19ED918D" w14:textId="77777777" w:rsidR="007F7157" w:rsidRPr="008642E3" w:rsidRDefault="007F7157" w:rsidP="007F7157">
      <w:pPr>
        <w:widowControl w:val="0"/>
        <w:autoSpaceDE w:val="0"/>
        <w:autoSpaceDN w:val="0"/>
        <w:adjustRightInd w:val="0"/>
        <w:spacing w:after="0" w:line="240" w:lineRule="auto"/>
        <w:ind w:firstLine="720"/>
        <w:jc w:val="both"/>
        <w:rPr>
          <w:rFonts w:ascii="Times New Roman" w:hAnsi="Times New Roman"/>
          <w:sz w:val="24"/>
          <w:szCs w:val="20"/>
        </w:rPr>
      </w:pPr>
    </w:p>
    <w:p w14:paraId="6351104E" w14:textId="6893A842" w:rsidR="00DD0389" w:rsidRDefault="00DD0389" w:rsidP="00765240">
      <w:pPr>
        <w:widowControl w:val="0"/>
        <w:autoSpaceDE w:val="0"/>
        <w:autoSpaceDN w:val="0"/>
        <w:adjustRightInd w:val="0"/>
        <w:spacing w:after="0" w:line="240" w:lineRule="auto"/>
        <w:ind w:firstLine="720"/>
        <w:jc w:val="both"/>
        <w:rPr>
          <w:rFonts w:ascii="Times New Roman" w:hAnsi="Times New Roman"/>
          <w:sz w:val="24"/>
          <w:szCs w:val="20"/>
        </w:rPr>
      </w:pPr>
      <w:r w:rsidRPr="008642E3">
        <w:rPr>
          <w:rFonts w:ascii="Times New Roman" w:hAnsi="Times New Roman"/>
          <w:sz w:val="24"/>
          <w:szCs w:val="20"/>
        </w:rPr>
        <w:t xml:space="preserve">Finally, it seems clear that the lack of classroom diversity is attributable in good part to factors other than the representation of the favored groups in the UT student population. UT offers an enormous number of classes in a wide range of subjects, and it gives undergraduates a very large measure of freedom to choose their classes. UT also offers courses in subjects that are likely to have special appeal to members of the minority groups given preferential treatment under its challenged plan, and this of course diminishes the number of other courses in which these students can enroll. Having designed an undergraduate program that virtually ensures a lack of classroom </w:t>
      </w:r>
      <w:r w:rsidRPr="008642E3">
        <w:rPr>
          <w:rFonts w:ascii="Times New Roman" w:hAnsi="Times New Roman"/>
          <w:sz w:val="24"/>
          <w:szCs w:val="20"/>
        </w:rPr>
        <w:lastRenderedPageBreak/>
        <w:t>diversity, UT is poorly positioned to argue that this very result provides a justification for racial and ethnic discrimination, which the Constitution rarely allows.</w:t>
      </w:r>
      <w:bookmarkStart w:id="36" w:name="co_anchor_Ie27a6b09c68d11e698dc8b09b4f04"/>
      <w:bookmarkEnd w:id="36"/>
    </w:p>
    <w:p w14:paraId="03AADAE0" w14:textId="77777777" w:rsidR="007947B4" w:rsidRPr="008642E3" w:rsidRDefault="007947B4" w:rsidP="00765240">
      <w:pPr>
        <w:widowControl w:val="0"/>
        <w:autoSpaceDE w:val="0"/>
        <w:autoSpaceDN w:val="0"/>
        <w:adjustRightInd w:val="0"/>
        <w:spacing w:after="0" w:line="240" w:lineRule="auto"/>
        <w:ind w:firstLine="720"/>
        <w:jc w:val="both"/>
        <w:rPr>
          <w:rFonts w:ascii="Times New Roman" w:hAnsi="Times New Roman"/>
          <w:sz w:val="24"/>
          <w:szCs w:val="20"/>
        </w:rPr>
      </w:pPr>
    </w:p>
    <w:p w14:paraId="37EB686A" w14:textId="55834C04" w:rsidR="00DD0389" w:rsidRPr="007947B4" w:rsidRDefault="00DD0389" w:rsidP="007947B4">
      <w:pPr>
        <w:widowControl w:val="0"/>
        <w:autoSpaceDE w:val="0"/>
        <w:autoSpaceDN w:val="0"/>
        <w:adjustRightInd w:val="0"/>
        <w:spacing w:after="0" w:line="240" w:lineRule="auto"/>
        <w:jc w:val="center"/>
        <w:rPr>
          <w:rFonts w:ascii="Times New Roman" w:hAnsi="Times New Roman"/>
          <w:b/>
          <w:sz w:val="24"/>
          <w:szCs w:val="20"/>
        </w:rPr>
      </w:pPr>
      <w:r w:rsidRPr="007947B4">
        <w:rPr>
          <w:rFonts w:ascii="Times New Roman" w:hAnsi="Times New Roman"/>
          <w:b/>
          <w:sz w:val="24"/>
          <w:szCs w:val="20"/>
        </w:rPr>
        <w:t>3</w:t>
      </w:r>
    </w:p>
    <w:p w14:paraId="29081B35" w14:textId="77777777" w:rsidR="007947B4" w:rsidRPr="008642E3" w:rsidRDefault="007947B4" w:rsidP="007947B4">
      <w:pPr>
        <w:widowControl w:val="0"/>
        <w:autoSpaceDE w:val="0"/>
        <w:autoSpaceDN w:val="0"/>
        <w:adjustRightInd w:val="0"/>
        <w:spacing w:after="0" w:line="240" w:lineRule="auto"/>
        <w:jc w:val="center"/>
        <w:rPr>
          <w:rFonts w:ascii="Times New Roman" w:hAnsi="Times New Roman"/>
          <w:sz w:val="24"/>
          <w:szCs w:val="20"/>
        </w:rPr>
      </w:pPr>
    </w:p>
    <w:p w14:paraId="5D116972" w14:textId="77777777" w:rsidR="00DD0389" w:rsidRPr="008642E3" w:rsidRDefault="00DD0389" w:rsidP="00360080">
      <w:pPr>
        <w:widowControl w:val="0"/>
        <w:autoSpaceDE w:val="0"/>
        <w:autoSpaceDN w:val="0"/>
        <w:adjustRightInd w:val="0"/>
        <w:spacing w:after="0" w:line="240" w:lineRule="auto"/>
        <w:ind w:firstLine="720"/>
        <w:jc w:val="both"/>
        <w:rPr>
          <w:rFonts w:ascii="Times New Roman" w:hAnsi="Times New Roman"/>
          <w:sz w:val="24"/>
          <w:szCs w:val="20"/>
        </w:rPr>
      </w:pPr>
      <w:r w:rsidRPr="008642E3">
        <w:rPr>
          <w:rFonts w:ascii="Times New Roman" w:hAnsi="Times New Roman"/>
          <w:sz w:val="24"/>
          <w:szCs w:val="20"/>
        </w:rPr>
        <w:t xml:space="preserve">UT’s purported interest in </w:t>
      </w:r>
      <w:proofErr w:type="spellStart"/>
      <w:r w:rsidRPr="008642E3">
        <w:rPr>
          <w:rFonts w:ascii="Times New Roman" w:hAnsi="Times New Roman"/>
          <w:sz w:val="24"/>
          <w:szCs w:val="20"/>
        </w:rPr>
        <w:t>intraracial</w:t>
      </w:r>
      <w:proofErr w:type="spellEnd"/>
      <w:r w:rsidRPr="008642E3">
        <w:rPr>
          <w:rFonts w:ascii="Times New Roman" w:hAnsi="Times New Roman"/>
          <w:sz w:val="24"/>
          <w:szCs w:val="20"/>
        </w:rPr>
        <w:t xml:space="preserve"> diversity, or “diversity within diversity,” also falls short. At bottom, this argument relies on the unsupported assumption that there is something deficient or at least radically different about the African–American and Hispanic students admitted through the Top Ten Percent Plan</w:t>
      </w:r>
      <w:r w:rsidR="007F7157">
        <w:rPr>
          <w:rFonts w:ascii="Times New Roman" w:hAnsi="Times New Roman"/>
          <w:sz w:val="24"/>
          <w:szCs w:val="20"/>
        </w:rPr>
        <w:t>….</w:t>
      </w:r>
      <w:r w:rsidR="00A7187C">
        <w:rPr>
          <w:rFonts w:ascii="Times New Roman" w:hAnsi="Times New Roman"/>
          <w:sz w:val="24"/>
          <w:szCs w:val="20"/>
        </w:rPr>
        <w:t xml:space="preserve"> </w:t>
      </w:r>
      <w:r w:rsidRPr="008642E3">
        <w:rPr>
          <w:rFonts w:ascii="Times New Roman" w:hAnsi="Times New Roman"/>
          <w:sz w:val="24"/>
          <w:szCs w:val="20"/>
        </w:rPr>
        <w:t xml:space="preserve">UT complained that the Top Ten Percent Law hinders its efforts to assemble a broadly diverse class because the minorities admitted under that law are drawn largely from certain areas of Texas where there are majority-minority schools. These students, UT argued, tend to come from poor, disadvantaged families, and the University would prefer a system that gives it substantial leeway to seek broad diversity </w:t>
      </w:r>
      <w:r w:rsidRPr="008642E3">
        <w:rPr>
          <w:rFonts w:ascii="Times New Roman" w:hAnsi="Times New Roman"/>
          <w:i/>
          <w:iCs/>
          <w:sz w:val="24"/>
          <w:szCs w:val="20"/>
        </w:rPr>
        <w:t xml:space="preserve">within </w:t>
      </w:r>
      <w:r w:rsidRPr="008642E3">
        <w:rPr>
          <w:rFonts w:ascii="Times New Roman" w:hAnsi="Times New Roman"/>
          <w:sz w:val="24"/>
          <w:szCs w:val="20"/>
        </w:rPr>
        <w:t xml:space="preserve">groups of underrepresented minorities. In particular, UT asserted a need for more African–American and Hispanic students from privileged backgrounds. Thus, the Top Ten Percent Law is faulted for admitting </w:t>
      </w:r>
      <w:r w:rsidRPr="008642E3">
        <w:rPr>
          <w:rFonts w:ascii="Times New Roman" w:hAnsi="Times New Roman"/>
          <w:i/>
          <w:iCs/>
          <w:sz w:val="24"/>
          <w:szCs w:val="20"/>
        </w:rPr>
        <w:t>the wrong kind of African–American and Hispanic students</w:t>
      </w:r>
      <w:r w:rsidR="00A7187C">
        <w:rPr>
          <w:rFonts w:ascii="Times New Roman" w:hAnsi="Times New Roman"/>
          <w:sz w:val="24"/>
          <w:szCs w:val="20"/>
        </w:rPr>
        <w:t>….</w:t>
      </w:r>
    </w:p>
    <w:p w14:paraId="00072A70" w14:textId="77777777" w:rsidR="00DD0389" w:rsidRPr="008642E3" w:rsidRDefault="00DD0389">
      <w:pPr>
        <w:widowControl w:val="0"/>
        <w:autoSpaceDE w:val="0"/>
        <w:autoSpaceDN w:val="0"/>
        <w:adjustRightInd w:val="0"/>
        <w:spacing w:after="0" w:line="240" w:lineRule="auto"/>
        <w:jc w:val="both"/>
        <w:rPr>
          <w:rFonts w:ascii="Times New Roman" w:hAnsi="Times New Roman"/>
          <w:sz w:val="24"/>
          <w:szCs w:val="20"/>
        </w:rPr>
      </w:pPr>
      <w:r w:rsidRPr="008642E3">
        <w:rPr>
          <w:rFonts w:ascii="Times New Roman" w:hAnsi="Times New Roman"/>
          <w:sz w:val="24"/>
          <w:szCs w:val="20"/>
        </w:rPr>
        <w:t> </w:t>
      </w:r>
    </w:p>
    <w:p w14:paraId="2DF3AD02" w14:textId="77777777" w:rsidR="00DD0389" w:rsidRPr="008642E3" w:rsidRDefault="00DD0389" w:rsidP="00360080">
      <w:pPr>
        <w:widowControl w:val="0"/>
        <w:autoSpaceDE w:val="0"/>
        <w:autoSpaceDN w:val="0"/>
        <w:adjustRightInd w:val="0"/>
        <w:spacing w:after="0" w:line="240" w:lineRule="auto"/>
        <w:ind w:firstLine="720"/>
        <w:jc w:val="both"/>
        <w:rPr>
          <w:rFonts w:ascii="Times New Roman" w:hAnsi="Times New Roman"/>
          <w:sz w:val="24"/>
          <w:szCs w:val="20"/>
        </w:rPr>
      </w:pPr>
      <w:r w:rsidRPr="008642E3">
        <w:rPr>
          <w:rFonts w:ascii="Times New Roman" w:hAnsi="Times New Roman"/>
          <w:sz w:val="24"/>
          <w:szCs w:val="20"/>
        </w:rPr>
        <w:t xml:space="preserve">Ultimately, UT’s </w:t>
      </w:r>
      <w:proofErr w:type="spellStart"/>
      <w:r w:rsidRPr="008642E3">
        <w:rPr>
          <w:rFonts w:ascii="Times New Roman" w:hAnsi="Times New Roman"/>
          <w:sz w:val="24"/>
          <w:szCs w:val="20"/>
        </w:rPr>
        <w:t>intraracial</w:t>
      </w:r>
      <w:proofErr w:type="spellEnd"/>
      <w:r w:rsidRPr="008642E3">
        <w:rPr>
          <w:rFonts w:ascii="Times New Roman" w:hAnsi="Times New Roman"/>
          <w:sz w:val="24"/>
          <w:szCs w:val="20"/>
        </w:rPr>
        <w:t xml:space="preserve"> diversity rationale relies on the baseless assumption that there is something wrong with African–American and Hispanic students admitted through the Top Ten Percent Plan, because they are “from the lower-performing, racially identifiable schools.”</w:t>
      </w:r>
      <w:r w:rsidR="00A7187C">
        <w:rPr>
          <w:rFonts w:ascii="Times New Roman" w:hAnsi="Times New Roman"/>
          <w:sz w:val="24"/>
          <w:szCs w:val="20"/>
        </w:rPr>
        <w:t xml:space="preserve">… </w:t>
      </w:r>
      <w:r w:rsidRPr="008642E3">
        <w:rPr>
          <w:rFonts w:ascii="Times New Roman" w:hAnsi="Times New Roman"/>
          <w:sz w:val="24"/>
          <w:szCs w:val="20"/>
        </w:rPr>
        <w:t xml:space="preserve">UT’s assumptions appear to be based on the pernicious stereotype that the African–Americans and Hispanics admitted through the Top Ten Percent Plan only got in because they did not have to compete against very many whites and Asian–Americans. These are “the very stereotypical assumptions [that] the Equal Protection Clause forbids.” </w:t>
      </w:r>
      <w:r w:rsidRPr="008642E3">
        <w:rPr>
          <w:rFonts w:ascii="Times New Roman" w:hAnsi="Times New Roman"/>
          <w:i/>
          <w:iCs/>
          <w:sz w:val="24"/>
          <w:szCs w:val="20"/>
        </w:rPr>
        <w:t>Miller</w:t>
      </w:r>
      <w:r w:rsidR="00A7187C">
        <w:rPr>
          <w:rFonts w:ascii="Times New Roman" w:hAnsi="Times New Roman"/>
          <w:sz w:val="24"/>
          <w:szCs w:val="20"/>
        </w:rPr>
        <w:t>….</w:t>
      </w:r>
    </w:p>
    <w:p w14:paraId="7840E08B" w14:textId="77777777" w:rsidR="00DD0389" w:rsidRPr="008642E3" w:rsidRDefault="00DD0389">
      <w:pPr>
        <w:widowControl w:val="0"/>
        <w:autoSpaceDE w:val="0"/>
        <w:autoSpaceDN w:val="0"/>
        <w:adjustRightInd w:val="0"/>
        <w:spacing w:after="0" w:line="240" w:lineRule="auto"/>
        <w:jc w:val="both"/>
        <w:rPr>
          <w:rFonts w:ascii="Times New Roman" w:hAnsi="Times New Roman"/>
          <w:sz w:val="24"/>
          <w:szCs w:val="20"/>
        </w:rPr>
      </w:pPr>
      <w:r w:rsidRPr="008642E3">
        <w:rPr>
          <w:rFonts w:ascii="Times New Roman" w:hAnsi="Times New Roman"/>
          <w:sz w:val="24"/>
          <w:szCs w:val="20"/>
        </w:rPr>
        <w:t> </w:t>
      </w:r>
    </w:p>
    <w:p w14:paraId="6BF33286" w14:textId="39F16634" w:rsidR="00A7187C" w:rsidRPr="008642E3" w:rsidRDefault="00DD0389" w:rsidP="00A7187C">
      <w:pPr>
        <w:widowControl w:val="0"/>
        <w:autoSpaceDE w:val="0"/>
        <w:autoSpaceDN w:val="0"/>
        <w:adjustRightInd w:val="0"/>
        <w:spacing w:after="0" w:line="240" w:lineRule="auto"/>
        <w:ind w:firstLine="720"/>
        <w:jc w:val="both"/>
        <w:rPr>
          <w:rFonts w:ascii="Times New Roman" w:hAnsi="Times New Roman"/>
          <w:sz w:val="24"/>
          <w:szCs w:val="20"/>
        </w:rPr>
      </w:pPr>
      <w:r w:rsidRPr="008642E3">
        <w:rPr>
          <w:rFonts w:ascii="Times New Roman" w:hAnsi="Times New Roman"/>
          <w:sz w:val="24"/>
          <w:szCs w:val="20"/>
        </w:rPr>
        <w:t xml:space="preserve">In addition to relying on stereotypes, UT’s argument that it needs racial preferences to admit privileged minorities turns the concept of affirmative action on its head. When affirmative action programs were first adopted, it was for the purpose of helping the disadvantaged. See, </w:t>
      </w:r>
      <w:r w:rsidRPr="008642E3">
        <w:rPr>
          <w:rFonts w:ascii="Times New Roman" w:hAnsi="Times New Roman"/>
          <w:i/>
          <w:iCs/>
          <w:sz w:val="24"/>
          <w:szCs w:val="20"/>
        </w:rPr>
        <w:t xml:space="preserve">e.g., </w:t>
      </w:r>
      <w:r w:rsidR="00745ECE" w:rsidRPr="00745ECE">
        <w:rPr>
          <w:rFonts w:ascii="Times New Roman" w:hAnsi="Times New Roman"/>
          <w:iCs/>
          <w:sz w:val="24"/>
          <w:szCs w:val="20"/>
        </w:rPr>
        <w:t xml:space="preserve">University of California v. </w:t>
      </w:r>
      <w:r w:rsidRPr="00745ECE">
        <w:rPr>
          <w:rFonts w:ascii="Times New Roman" w:hAnsi="Times New Roman"/>
          <w:iCs/>
          <w:sz w:val="24"/>
          <w:szCs w:val="20"/>
        </w:rPr>
        <w:t>Bakke</w:t>
      </w:r>
      <w:r w:rsidRPr="008642E3">
        <w:rPr>
          <w:rFonts w:ascii="Times New Roman" w:hAnsi="Times New Roman"/>
          <w:sz w:val="24"/>
          <w:szCs w:val="20"/>
        </w:rPr>
        <w:t xml:space="preserve"> (opinion of Powell, J.). Now we are told that a program that tends to admit poor and disadvantaged minority students is inadequate because it does not work to the advantage of those who are more fortunate. This is affirmative action gone wild</w:t>
      </w:r>
      <w:r w:rsidR="00A7187C">
        <w:rPr>
          <w:rFonts w:ascii="Times New Roman" w:hAnsi="Times New Roman"/>
          <w:sz w:val="24"/>
          <w:szCs w:val="20"/>
        </w:rPr>
        <w:t>….</w:t>
      </w:r>
    </w:p>
    <w:p w14:paraId="6BE62C99" w14:textId="77777777" w:rsidR="00DD0389" w:rsidRPr="008642E3" w:rsidRDefault="00DD0389">
      <w:pPr>
        <w:widowControl w:val="0"/>
        <w:autoSpaceDE w:val="0"/>
        <w:autoSpaceDN w:val="0"/>
        <w:adjustRightInd w:val="0"/>
        <w:spacing w:after="0" w:line="240" w:lineRule="auto"/>
        <w:jc w:val="both"/>
        <w:rPr>
          <w:rFonts w:ascii="Times New Roman" w:hAnsi="Times New Roman"/>
          <w:sz w:val="24"/>
          <w:szCs w:val="20"/>
        </w:rPr>
      </w:pPr>
    </w:p>
    <w:p w14:paraId="7849D567" w14:textId="2C8ABF90" w:rsidR="00DD0389" w:rsidRDefault="00A7187C" w:rsidP="00A7187C">
      <w:pPr>
        <w:widowControl w:val="0"/>
        <w:autoSpaceDE w:val="0"/>
        <w:autoSpaceDN w:val="0"/>
        <w:adjustRightInd w:val="0"/>
        <w:spacing w:after="0" w:line="240" w:lineRule="auto"/>
        <w:ind w:firstLine="720"/>
        <w:jc w:val="both"/>
        <w:rPr>
          <w:rFonts w:ascii="Times New Roman" w:hAnsi="Times New Roman"/>
          <w:sz w:val="24"/>
          <w:szCs w:val="20"/>
        </w:rPr>
      </w:pPr>
      <w:r>
        <w:rPr>
          <w:rFonts w:ascii="Times New Roman" w:hAnsi="Times New Roman"/>
          <w:sz w:val="24"/>
          <w:szCs w:val="20"/>
        </w:rPr>
        <w:t>[I]</w:t>
      </w:r>
      <w:r w:rsidR="00DD0389" w:rsidRPr="008642E3">
        <w:rPr>
          <w:rFonts w:ascii="Times New Roman" w:hAnsi="Times New Roman"/>
          <w:sz w:val="24"/>
          <w:szCs w:val="20"/>
        </w:rPr>
        <w:t xml:space="preserve">t is simply not true that Top Ten Percent minority </w:t>
      </w:r>
      <w:proofErr w:type="spellStart"/>
      <w:r w:rsidR="00DD0389" w:rsidRPr="008642E3">
        <w:rPr>
          <w:rFonts w:ascii="Times New Roman" w:hAnsi="Times New Roman"/>
          <w:sz w:val="24"/>
          <w:szCs w:val="20"/>
        </w:rPr>
        <w:t>admittees</w:t>
      </w:r>
      <w:proofErr w:type="spellEnd"/>
      <w:r w:rsidR="00DD0389" w:rsidRPr="008642E3">
        <w:rPr>
          <w:rFonts w:ascii="Times New Roman" w:hAnsi="Times New Roman"/>
          <w:sz w:val="24"/>
          <w:szCs w:val="20"/>
        </w:rPr>
        <w:t xml:space="preserve"> are academically inferior to holistic </w:t>
      </w:r>
      <w:proofErr w:type="spellStart"/>
      <w:r w:rsidR="00DD0389" w:rsidRPr="008642E3">
        <w:rPr>
          <w:rFonts w:ascii="Times New Roman" w:hAnsi="Times New Roman"/>
          <w:sz w:val="24"/>
          <w:szCs w:val="20"/>
        </w:rPr>
        <w:t>admittees</w:t>
      </w:r>
      <w:proofErr w:type="spellEnd"/>
      <w:r w:rsidR="00DD0389" w:rsidRPr="008642E3">
        <w:rPr>
          <w:rFonts w:ascii="Times New Roman" w:hAnsi="Times New Roman"/>
          <w:sz w:val="24"/>
          <w:szCs w:val="20"/>
        </w:rPr>
        <w:t xml:space="preserve">. </w:t>
      </w:r>
      <w:r w:rsidR="00745ECE">
        <w:rPr>
          <w:rFonts w:ascii="Times New Roman" w:hAnsi="Times New Roman"/>
          <w:sz w:val="24"/>
          <w:szCs w:val="20"/>
        </w:rPr>
        <w:t xml:space="preserve">. . . </w:t>
      </w:r>
      <w:r w:rsidR="00DD0389" w:rsidRPr="008642E3">
        <w:rPr>
          <w:rFonts w:ascii="Times New Roman" w:hAnsi="Times New Roman"/>
          <w:sz w:val="24"/>
          <w:szCs w:val="20"/>
        </w:rPr>
        <w:t>Indeed, the statistics in the record reveal that, for each year between 2003 and 2007, African–American in-state freshmen who were admitted</w:t>
      </w:r>
      <w:bookmarkStart w:id="37" w:name="co_pp_sp_708_2234_1"/>
      <w:bookmarkEnd w:id="37"/>
      <w:r w:rsidR="00DD0389" w:rsidRPr="008642E3">
        <w:rPr>
          <w:rFonts w:ascii="Times New Roman" w:hAnsi="Times New Roman"/>
          <w:sz w:val="24"/>
          <w:szCs w:val="20"/>
        </w:rPr>
        <w:t xml:space="preserve"> under the Top Ten Percent Law earned a higher mean grade point average than those admitted outside of the Top Ten Percent Law. The same is true for Hispanic students. These conclusions correspond to the results of nationwide studies showing that high school grades are a better predictor of success in college than SAT scores</w:t>
      </w:r>
      <w:r>
        <w:rPr>
          <w:rFonts w:ascii="Times New Roman" w:hAnsi="Times New Roman"/>
          <w:sz w:val="24"/>
          <w:szCs w:val="20"/>
        </w:rPr>
        <w:t>….</w:t>
      </w:r>
      <w:bookmarkStart w:id="38" w:name="co_anchor_Ie27a6b0ac68d11e698dc8b09b4f04"/>
      <w:bookmarkEnd w:id="38"/>
    </w:p>
    <w:p w14:paraId="61E3CF20" w14:textId="77777777" w:rsidR="007947B4" w:rsidRPr="008642E3" w:rsidRDefault="007947B4" w:rsidP="00A7187C">
      <w:pPr>
        <w:widowControl w:val="0"/>
        <w:autoSpaceDE w:val="0"/>
        <w:autoSpaceDN w:val="0"/>
        <w:adjustRightInd w:val="0"/>
        <w:spacing w:after="0" w:line="240" w:lineRule="auto"/>
        <w:ind w:firstLine="720"/>
        <w:jc w:val="both"/>
        <w:rPr>
          <w:rFonts w:ascii="Times New Roman" w:hAnsi="Times New Roman"/>
          <w:sz w:val="24"/>
          <w:szCs w:val="20"/>
        </w:rPr>
      </w:pPr>
    </w:p>
    <w:p w14:paraId="438CB8F1" w14:textId="33F56120" w:rsidR="00DD0389" w:rsidRPr="007947B4" w:rsidRDefault="00DD0389" w:rsidP="007947B4">
      <w:pPr>
        <w:widowControl w:val="0"/>
        <w:autoSpaceDE w:val="0"/>
        <w:autoSpaceDN w:val="0"/>
        <w:adjustRightInd w:val="0"/>
        <w:spacing w:after="0" w:line="240" w:lineRule="auto"/>
        <w:jc w:val="center"/>
        <w:rPr>
          <w:rFonts w:ascii="Times New Roman" w:hAnsi="Times New Roman"/>
          <w:b/>
          <w:sz w:val="24"/>
          <w:szCs w:val="20"/>
        </w:rPr>
      </w:pPr>
      <w:r w:rsidRPr="007947B4">
        <w:rPr>
          <w:rFonts w:ascii="Times New Roman" w:hAnsi="Times New Roman"/>
          <w:b/>
          <w:sz w:val="24"/>
          <w:szCs w:val="20"/>
        </w:rPr>
        <w:t>4</w:t>
      </w:r>
    </w:p>
    <w:p w14:paraId="679BCB16" w14:textId="77777777" w:rsidR="007947B4" w:rsidRPr="008642E3" w:rsidRDefault="007947B4" w:rsidP="007947B4">
      <w:pPr>
        <w:widowControl w:val="0"/>
        <w:autoSpaceDE w:val="0"/>
        <w:autoSpaceDN w:val="0"/>
        <w:adjustRightInd w:val="0"/>
        <w:spacing w:after="0" w:line="240" w:lineRule="auto"/>
        <w:jc w:val="center"/>
        <w:rPr>
          <w:rFonts w:ascii="Times New Roman" w:hAnsi="Times New Roman"/>
          <w:sz w:val="24"/>
          <w:szCs w:val="20"/>
        </w:rPr>
      </w:pPr>
    </w:p>
    <w:p w14:paraId="7822E722" w14:textId="7CE68E7E" w:rsidR="00DD0389" w:rsidRPr="008642E3" w:rsidRDefault="00DD0389" w:rsidP="007947B4">
      <w:pPr>
        <w:widowControl w:val="0"/>
        <w:autoSpaceDE w:val="0"/>
        <w:autoSpaceDN w:val="0"/>
        <w:adjustRightInd w:val="0"/>
        <w:spacing w:after="0" w:line="240" w:lineRule="auto"/>
        <w:ind w:firstLine="720"/>
        <w:jc w:val="both"/>
        <w:rPr>
          <w:rFonts w:ascii="Times New Roman" w:hAnsi="Times New Roman"/>
          <w:sz w:val="24"/>
          <w:szCs w:val="20"/>
        </w:rPr>
      </w:pPr>
      <w:r w:rsidRPr="008642E3">
        <w:rPr>
          <w:rFonts w:ascii="Times New Roman" w:hAnsi="Times New Roman"/>
          <w:sz w:val="24"/>
          <w:szCs w:val="20"/>
        </w:rPr>
        <w:t>UT also alleges—and the majority embraces—an interest in avoiding “feelings of loneliness and isolation” among minority students. In support of this argument, they cite only demographic data and anecdotal statements by UT officials that some students (we are not told how many) feel “isolated.” This vague interest cannot possibly satisfy strict scrutiny</w:t>
      </w:r>
      <w:r w:rsidR="00A7187C">
        <w:rPr>
          <w:rFonts w:ascii="Times New Roman" w:hAnsi="Times New Roman"/>
          <w:sz w:val="24"/>
          <w:szCs w:val="20"/>
        </w:rPr>
        <w:t>….</w:t>
      </w:r>
      <w:bookmarkStart w:id="39" w:name="co_pp_sp_708_2236_1"/>
      <w:bookmarkStart w:id="40" w:name="co_anchor_Ie27a6b10c68d11e698dc8b09b4f04"/>
      <w:bookmarkEnd w:id="39"/>
      <w:bookmarkEnd w:id="40"/>
    </w:p>
    <w:p w14:paraId="6E09F085" w14:textId="2A3C765D" w:rsidR="00DD0389" w:rsidRDefault="00DD0389" w:rsidP="007947B4">
      <w:pPr>
        <w:widowControl w:val="0"/>
        <w:autoSpaceDE w:val="0"/>
        <w:autoSpaceDN w:val="0"/>
        <w:adjustRightInd w:val="0"/>
        <w:spacing w:after="0" w:line="240" w:lineRule="auto"/>
        <w:jc w:val="center"/>
        <w:rPr>
          <w:rFonts w:ascii="Times New Roman" w:hAnsi="Times New Roman"/>
          <w:b/>
          <w:sz w:val="24"/>
          <w:szCs w:val="20"/>
        </w:rPr>
      </w:pPr>
      <w:r w:rsidRPr="007947B4">
        <w:rPr>
          <w:rFonts w:ascii="Times New Roman" w:hAnsi="Times New Roman"/>
          <w:b/>
          <w:sz w:val="24"/>
          <w:szCs w:val="20"/>
        </w:rPr>
        <w:lastRenderedPageBreak/>
        <w:t>IV</w:t>
      </w:r>
    </w:p>
    <w:p w14:paraId="6C95A5AC" w14:textId="77777777" w:rsidR="007947B4" w:rsidRPr="007947B4" w:rsidRDefault="007947B4" w:rsidP="007947B4">
      <w:pPr>
        <w:widowControl w:val="0"/>
        <w:autoSpaceDE w:val="0"/>
        <w:autoSpaceDN w:val="0"/>
        <w:adjustRightInd w:val="0"/>
        <w:spacing w:after="0" w:line="240" w:lineRule="auto"/>
        <w:jc w:val="center"/>
        <w:rPr>
          <w:rFonts w:ascii="Times New Roman" w:hAnsi="Times New Roman"/>
          <w:b/>
          <w:sz w:val="24"/>
          <w:szCs w:val="20"/>
        </w:rPr>
      </w:pPr>
    </w:p>
    <w:p w14:paraId="0E5D112F" w14:textId="77777777" w:rsidR="00DD0389" w:rsidRPr="008642E3" w:rsidRDefault="00DD0389" w:rsidP="00360080">
      <w:pPr>
        <w:widowControl w:val="0"/>
        <w:autoSpaceDE w:val="0"/>
        <w:autoSpaceDN w:val="0"/>
        <w:adjustRightInd w:val="0"/>
        <w:spacing w:after="0" w:line="240" w:lineRule="auto"/>
        <w:ind w:firstLine="720"/>
        <w:jc w:val="both"/>
        <w:rPr>
          <w:rFonts w:ascii="Times New Roman" w:hAnsi="Times New Roman"/>
          <w:sz w:val="24"/>
          <w:szCs w:val="20"/>
        </w:rPr>
      </w:pPr>
      <w:r w:rsidRPr="008642E3">
        <w:rPr>
          <w:rFonts w:ascii="Times New Roman" w:hAnsi="Times New Roman"/>
          <w:sz w:val="24"/>
          <w:szCs w:val="20"/>
        </w:rPr>
        <w:t xml:space="preserve">It is important to understand what is and what is not at stake in this case. </w:t>
      </w:r>
      <w:r w:rsidRPr="008642E3">
        <w:rPr>
          <w:rFonts w:ascii="Times New Roman" w:hAnsi="Times New Roman"/>
          <w:i/>
          <w:iCs/>
          <w:sz w:val="24"/>
          <w:szCs w:val="20"/>
        </w:rPr>
        <w:t>What is not at stake</w:t>
      </w:r>
      <w:r w:rsidRPr="008642E3">
        <w:rPr>
          <w:rFonts w:ascii="Times New Roman" w:hAnsi="Times New Roman"/>
          <w:sz w:val="24"/>
          <w:szCs w:val="20"/>
        </w:rPr>
        <w:t xml:space="preserve"> is whether UT or any other university may adopt an admissions plan that results in a student body with a broad representation of students from all racial and ethnic groups. UT previously had a race-neutral plan that it claimed had “effectively compensated for the loss of affirmative action,” and UT could have taken other steps that would have increased the diversity of its admitted students without taking race or ethnic background into account.</w:t>
      </w:r>
    </w:p>
    <w:p w14:paraId="2368FD16" w14:textId="77777777" w:rsidR="00DD0389" w:rsidRPr="008642E3" w:rsidRDefault="00DD0389">
      <w:pPr>
        <w:widowControl w:val="0"/>
        <w:autoSpaceDE w:val="0"/>
        <w:autoSpaceDN w:val="0"/>
        <w:adjustRightInd w:val="0"/>
        <w:spacing w:after="0" w:line="240" w:lineRule="auto"/>
        <w:jc w:val="both"/>
        <w:rPr>
          <w:rFonts w:ascii="Times New Roman" w:hAnsi="Times New Roman"/>
          <w:sz w:val="24"/>
          <w:szCs w:val="20"/>
        </w:rPr>
      </w:pPr>
      <w:r w:rsidRPr="008642E3">
        <w:rPr>
          <w:rFonts w:ascii="Times New Roman" w:hAnsi="Times New Roman"/>
          <w:sz w:val="24"/>
          <w:szCs w:val="20"/>
        </w:rPr>
        <w:t> </w:t>
      </w:r>
    </w:p>
    <w:p w14:paraId="0DC1F3A3" w14:textId="77777777" w:rsidR="00DD0389" w:rsidRPr="008642E3" w:rsidRDefault="00DD0389" w:rsidP="00360080">
      <w:pPr>
        <w:widowControl w:val="0"/>
        <w:autoSpaceDE w:val="0"/>
        <w:autoSpaceDN w:val="0"/>
        <w:adjustRightInd w:val="0"/>
        <w:spacing w:after="0" w:line="240" w:lineRule="auto"/>
        <w:ind w:firstLine="720"/>
        <w:jc w:val="both"/>
        <w:rPr>
          <w:rFonts w:ascii="Times New Roman" w:hAnsi="Times New Roman"/>
          <w:sz w:val="24"/>
          <w:szCs w:val="20"/>
        </w:rPr>
      </w:pPr>
      <w:r w:rsidRPr="008642E3">
        <w:rPr>
          <w:rFonts w:ascii="Times New Roman" w:hAnsi="Times New Roman"/>
          <w:i/>
          <w:iCs/>
          <w:sz w:val="24"/>
          <w:szCs w:val="20"/>
        </w:rPr>
        <w:t>What is at stake</w:t>
      </w:r>
      <w:r w:rsidRPr="008642E3">
        <w:rPr>
          <w:rFonts w:ascii="Times New Roman" w:hAnsi="Times New Roman"/>
          <w:sz w:val="24"/>
          <w:szCs w:val="20"/>
        </w:rPr>
        <w:t xml:space="preserve"> is whether university administrators may justify systematic racial discrimination simply by asserting that such discrimination is necessary to achieve “the educational benefits of diversity,” without explaining—much less proving—why the discrimination is needed or how</w:t>
      </w:r>
      <w:bookmarkStart w:id="41" w:name="co_pp_sp_708_2243_1"/>
      <w:bookmarkEnd w:id="41"/>
      <w:r w:rsidRPr="008642E3">
        <w:rPr>
          <w:rFonts w:ascii="Times New Roman" w:hAnsi="Times New Roman"/>
          <w:sz w:val="24"/>
          <w:szCs w:val="20"/>
        </w:rPr>
        <w:t xml:space="preserve"> the discriminatory plan is well crafted to serve its objectives. Even though UT has never provided any coherent explanation for its asserted need to discriminate on the basis of race, and even though UT’s position relies on a series of unsupported and noxious racial assumptions, the majority concludes that UT has met its heavy burden. This conclusion is remarkable—and remarkably wrong.</w:t>
      </w:r>
    </w:p>
    <w:p w14:paraId="64AC61FE" w14:textId="77777777" w:rsidR="00DD0389" w:rsidRPr="008642E3" w:rsidRDefault="00DD0389">
      <w:pPr>
        <w:widowControl w:val="0"/>
        <w:autoSpaceDE w:val="0"/>
        <w:autoSpaceDN w:val="0"/>
        <w:adjustRightInd w:val="0"/>
        <w:spacing w:after="0" w:line="240" w:lineRule="auto"/>
        <w:jc w:val="both"/>
        <w:rPr>
          <w:rFonts w:ascii="Times New Roman" w:hAnsi="Times New Roman"/>
          <w:sz w:val="24"/>
          <w:szCs w:val="20"/>
        </w:rPr>
      </w:pPr>
      <w:r w:rsidRPr="008642E3">
        <w:rPr>
          <w:rFonts w:ascii="Times New Roman" w:hAnsi="Times New Roman"/>
          <w:sz w:val="24"/>
          <w:szCs w:val="20"/>
        </w:rPr>
        <w:t> </w:t>
      </w:r>
    </w:p>
    <w:p w14:paraId="1BEAE97B" w14:textId="42A1A1ED" w:rsidR="00350130" w:rsidRDefault="00DD0389" w:rsidP="00A7187C">
      <w:pPr>
        <w:widowControl w:val="0"/>
        <w:autoSpaceDE w:val="0"/>
        <w:autoSpaceDN w:val="0"/>
        <w:adjustRightInd w:val="0"/>
        <w:spacing w:after="0" w:line="240" w:lineRule="auto"/>
        <w:ind w:firstLine="720"/>
        <w:jc w:val="both"/>
        <w:rPr>
          <w:rFonts w:ascii="Times New Roman" w:hAnsi="Times New Roman"/>
          <w:sz w:val="24"/>
          <w:szCs w:val="20"/>
        </w:rPr>
      </w:pPr>
      <w:r w:rsidRPr="008642E3">
        <w:rPr>
          <w:rFonts w:ascii="Times New Roman" w:hAnsi="Times New Roman"/>
          <w:sz w:val="24"/>
          <w:szCs w:val="20"/>
        </w:rPr>
        <w:t>Because UT has failed to satisfy strict scrutiny, I respectfully dissent.</w:t>
      </w:r>
    </w:p>
    <w:p w14:paraId="456B5B7D" w14:textId="4DCDE0EE" w:rsidR="00350130" w:rsidRDefault="00350130" w:rsidP="00A7187C">
      <w:pPr>
        <w:widowControl w:val="0"/>
        <w:autoSpaceDE w:val="0"/>
        <w:autoSpaceDN w:val="0"/>
        <w:adjustRightInd w:val="0"/>
        <w:spacing w:after="0" w:line="240" w:lineRule="auto"/>
        <w:ind w:firstLine="720"/>
        <w:jc w:val="both"/>
        <w:rPr>
          <w:rFonts w:ascii="Arial" w:hAnsi="Arial" w:cs="Arial"/>
          <w:sz w:val="24"/>
          <w:szCs w:val="24"/>
        </w:rPr>
      </w:pPr>
    </w:p>
    <w:p w14:paraId="509D63BC" w14:textId="77777777" w:rsidR="00350130" w:rsidRPr="00350130" w:rsidRDefault="00350130" w:rsidP="00E718AF">
      <w:pPr>
        <w:autoSpaceDE w:val="0"/>
        <w:autoSpaceDN w:val="0"/>
        <w:adjustRightInd w:val="0"/>
        <w:spacing w:after="0" w:line="240" w:lineRule="auto"/>
        <w:rPr>
          <w:rFonts w:ascii="Times New Roman" w:hAnsi="Times New Roman"/>
          <w:sz w:val="24"/>
          <w:szCs w:val="24"/>
        </w:rPr>
      </w:pPr>
      <w:r w:rsidRPr="00350130">
        <w:rPr>
          <w:rFonts w:ascii="Times New Roman" w:hAnsi="Times New Roman"/>
          <w:sz w:val="24"/>
          <w:szCs w:val="24"/>
          <w:lang w:val="en-CA"/>
        </w:rPr>
        <w:fldChar w:fldCharType="begin"/>
      </w:r>
      <w:r w:rsidRPr="00350130">
        <w:rPr>
          <w:rFonts w:ascii="Times New Roman" w:hAnsi="Times New Roman"/>
          <w:sz w:val="24"/>
          <w:szCs w:val="24"/>
          <w:lang w:val="en-CA"/>
        </w:rPr>
        <w:instrText xml:space="preserve"> SEQ CHAPTER \h \r 1</w:instrText>
      </w:r>
      <w:r w:rsidRPr="00350130">
        <w:rPr>
          <w:rFonts w:ascii="Times New Roman" w:hAnsi="Times New Roman"/>
          <w:sz w:val="24"/>
          <w:szCs w:val="24"/>
          <w:lang w:val="en-CA"/>
        </w:rPr>
        <w:fldChar w:fldCharType="end"/>
      </w:r>
      <w:r w:rsidRPr="00350130">
        <w:rPr>
          <w:rFonts w:ascii="Times New Roman" w:hAnsi="Times New Roman"/>
          <w:b/>
          <w:bCs/>
          <w:i/>
          <w:iCs/>
          <w:smallCaps/>
          <w:sz w:val="24"/>
          <w:szCs w:val="24"/>
        </w:rPr>
        <w:t>Editors’ Notes</w:t>
      </w:r>
    </w:p>
    <w:p w14:paraId="4107F186" w14:textId="77777777" w:rsidR="00350130" w:rsidRPr="00350130" w:rsidRDefault="00350130" w:rsidP="00350130">
      <w:pPr>
        <w:autoSpaceDE w:val="0"/>
        <w:autoSpaceDN w:val="0"/>
        <w:adjustRightInd w:val="0"/>
        <w:spacing w:after="0" w:line="240" w:lineRule="auto"/>
        <w:rPr>
          <w:rFonts w:ascii="Times New Roman" w:hAnsi="Times New Roman"/>
          <w:sz w:val="24"/>
          <w:szCs w:val="24"/>
        </w:rPr>
      </w:pPr>
    </w:p>
    <w:p w14:paraId="68C96D6E" w14:textId="57AC5A9F" w:rsidR="00350130" w:rsidRPr="00350130" w:rsidRDefault="00350130" w:rsidP="00350130">
      <w:pPr>
        <w:autoSpaceDE w:val="0"/>
        <w:autoSpaceDN w:val="0"/>
        <w:adjustRightInd w:val="0"/>
        <w:spacing w:after="0" w:line="240" w:lineRule="auto"/>
        <w:rPr>
          <w:rFonts w:ascii="Times New Roman" w:hAnsi="Times New Roman"/>
          <w:sz w:val="24"/>
          <w:szCs w:val="24"/>
        </w:rPr>
      </w:pPr>
      <w:r w:rsidRPr="00350130">
        <w:rPr>
          <w:rFonts w:ascii="Times New Roman" w:hAnsi="Times New Roman"/>
          <w:sz w:val="24"/>
          <w:szCs w:val="24"/>
        </w:rPr>
        <w:tab/>
        <w:t xml:space="preserve">(1) In previous affirmative action cases, </w:t>
      </w:r>
      <w:r w:rsidR="00143787">
        <w:rPr>
          <w:rFonts w:ascii="Times New Roman" w:hAnsi="Times New Roman"/>
          <w:sz w:val="24"/>
          <w:szCs w:val="24"/>
        </w:rPr>
        <w:t xml:space="preserve">the </w:t>
      </w:r>
      <w:r w:rsidR="00FA28B1">
        <w:rPr>
          <w:rFonts w:ascii="Times New Roman" w:hAnsi="Times New Roman"/>
          <w:sz w:val="24"/>
          <w:szCs w:val="24"/>
        </w:rPr>
        <w:t>j</w:t>
      </w:r>
      <w:r w:rsidR="00143787">
        <w:rPr>
          <w:rFonts w:ascii="Times New Roman" w:hAnsi="Times New Roman"/>
          <w:sz w:val="24"/>
          <w:szCs w:val="24"/>
        </w:rPr>
        <w:t>ustices</w:t>
      </w:r>
      <w:r w:rsidR="00FA28B1">
        <w:rPr>
          <w:rFonts w:ascii="Times New Roman" w:hAnsi="Times New Roman"/>
          <w:sz w:val="24"/>
          <w:szCs w:val="24"/>
        </w:rPr>
        <w:t xml:space="preserve"> have </w:t>
      </w:r>
      <w:r w:rsidR="00143787">
        <w:rPr>
          <w:rFonts w:ascii="Times New Roman" w:hAnsi="Times New Roman"/>
          <w:sz w:val="24"/>
          <w:szCs w:val="24"/>
        </w:rPr>
        <w:t>battled over the proper level of scrutiny to apply</w:t>
      </w:r>
      <w:r w:rsidRPr="00350130">
        <w:rPr>
          <w:rFonts w:ascii="Times New Roman" w:hAnsi="Times New Roman"/>
          <w:sz w:val="24"/>
          <w:szCs w:val="24"/>
        </w:rPr>
        <w:t xml:space="preserve">. Officially, </w:t>
      </w:r>
      <w:r w:rsidR="00143787">
        <w:rPr>
          <w:rFonts w:ascii="Times New Roman" w:hAnsi="Times New Roman"/>
          <w:sz w:val="24"/>
          <w:szCs w:val="24"/>
        </w:rPr>
        <w:t>the Supreme Court</w:t>
      </w:r>
      <w:r w:rsidR="00143787" w:rsidRPr="00350130">
        <w:rPr>
          <w:rFonts w:ascii="Times New Roman" w:hAnsi="Times New Roman"/>
          <w:sz w:val="24"/>
          <w:szCs w:val="24"/>
        </w:rPr>
        <w:t xml:space="preserve"> </w:t>
      </w:r>
      <w:r w:rsidRPr="00350130">
        <w:rPr>
          <w:rFonts w:ascii="Times New Roman" w:hAnsi="Times New Roman"/>
          <w:sz w:val="24"/>
          <w:szCs w:val="24"/>
        </w:rPr>
        <w:t>applies “strict scrutiny.” On the one hand, the Court has said that strict scrutiny does not entail that affirmative action is automatically unconstitutional (not necessarily “fatal in fact”). On the other hand, in Fisher v. University of Texas (2013; reprinted above, ____) (</w:t>
      </w:r>
      <w:r w:rsidRPr="00350130">
        <w:rPr>
          <w:rFonts w:ascii="Times New Roman" w:hAnsi="Times New Roman"/>
          <w:i/>
          <w:iCs/>
          <w:sz w:val="24"/>
          <w:szCs w:val="24"/>
        </w:rPr>
        <w:t>Fisher I</w:t>
      </w:r>
      <w:r w:rsidRPr="00350130">
        <w:rPr>
          <w:rFonts w:ascii="Times New Roman" w:hAnsi="Times New Roman"/>
          <w:sz w:val="24"/>
          <w:szCs w:val="24"/>
        </w:rPr>
        <w:t xml:space="preserve">), the Court insisted that “the opposite is also true:” strict scrutiny must not be “feeble in fact.” Where do things stand after </w:t>
      </w:r>
      <w:r w:rsidRPr="00350130">
        <w:rPr>
          <w:rFonts w:ascii="Times New Roman" w:hAnsi="Times New Roman"/>
          <w:i/>
          <w:iCs/>
          <w:sz w:val="24"/>
          <w:szCs w:val="24"/>
        </w:rPr>
        <w:t>Fisher II</w:t>
      </w:r>
      <w:r w:rsidRPr="00350130">
        <w:rPr>
          <w:rFonts w:ascii="Times New Roman" w:hAnsi="Times New Roman"/>
          <w:sz w:val="24"/>
          <w:szCs w:val="24"/>
        </w:rPr>
        <w:t>?</w:t>
      </w:r>
    </w:p>
    <w:p w14:paraId="1278074E" w14:textId="77777777" w:rsidR="00350130" w:rsidRPr="00350130" w:rsidRDefault="00350130" w:rsidP="00350130">
      <w:pPr>
        <w:autoSpaceDE w:val="0"/>
        <w:autoSpaceDN w:val="0"/>
        <w:adjustRightInd w:val="0"/>
        <w:spacing w:after="0" w:line="240" w:lineRule="auto"/>
        <w:rPr>
          <w:rFonts w:ascii="Times New Roman" w:hAnsi="Times New Roman"/>
          <w:sz w:val="24"/>
          <w:szCs w:val="24"/>
        </w:rPr>
      </w:pPr>
    </w:p>
    <w:p w14:paraId="21BCF5DB" w14:textId="77777777" w:rsidR="00350130" w:rsidRPr="00350130" w:rsidRDefault="00350130" w:rsidP="00350130">
      <w:pPr>
        <w:autoSpaceDE w:val="0"/>
        <w:autoSpaceDN w:val="0"/>
        <w:adjustRightInd w:val="0"/>
        <w:spacing w:after="0" w:line="240" w:lineRule="auto"/>
        <w:rPr>
          <w:rFonts w:ascii="Times New Roman" w:hAnsi="Times New Roman"/>
          <w:sz w:val="24"/>
          <w:szCs w:val="24"/>
        </w:rPr>
        <w:sectPr w:rsidR="00350130" w:rsidRPr="00350130">
          <w:type w:val="continuous"/>
          <w:pgSz w:w="12240" w:h="15840"/>
          <w:pgMar w:top="1440" w:right="1440" w:bottom="1440" w:left="1440" w:header="1440" w:footer="1440" w:gutter="0"/>
          <w:cols w:space="720"/>
        </w:sectPr>
      </w:pPr>
    </w:p>
    <w:p w14:paraId="6930A713" w14:textId="77777777" w:rsidR="00350130" w:rsidRPr="00350130" w:rsidRDefault="00350130" w:rsidP="00350130">
      <w:pPr>
        <w:autoSpaceDE w:val="0"/>
        <w:autoSpaceDN w:val="0"/>
        <w:adjustRightInd w:val="0"/>
        <w:spacing w:after="0" w:line="240" w:lineRule="auto"/>
        <w:rPr>
          <w:rFonts w:ascii="Times New Roman" w:hAnsi="Times New Roman"/>
          <w:sz w:val="24"/>
          <w:szCs w:val="24"/>
        </w:rPr>
      </w:pPr>
      <w:r w:rsidRPr="00350130">
        <w:rPr>
          <w:rFonts w:ascii="Times New Roman" w:hAnsi="Times New Roman"/>
          <w:sz w:val="24"/>
          <w:szCs w:val="24"/>
        </w:rPr>
        <w:tab/>
        <w:t>(2) The dissenters argue that the UT affirmative action plan cannot withstand strict scrutiny, and they argue that the Court is improperly deferring to the judgment of UT officials. Are their arguments persuasive? In considering this question, we might distinguish two forms of deference: (1) presuming that the action being challenged is constitutional versus (2) crediting the good faith efforts of the UT officials to comply with the Court’s requirements in previous cases. Which form of deference is the majority opinion applying? Assuming that the dissenters’ objections would be well taken if the Court were applying the former form of deference, would they be apt if it instead were applying the latter form?</w:t>
      </w:r>
    </w:p>
    <w:p w14:paraId="0A867FEA" w14:textId="77777777" w:rsidR="00350130" w:rsidRPr="00350130" w:rsidRDefault="00350130" w:rsidP="00350130">
      <w:pPr>
        <w:autoSpaceDE w:val="0"/>
        <w:autoSpaceDN w:val="0"/>
        <w:adjustRightInd w:val="0"/>
        <w:spacing w:after="0" w:line="240" w:lineRule="auto"/>
        <w:rPr>
          <w:rFonts w:ascii="Times New Roman" w:hAnsi="Times New Roman"/>
          <w:sz w:val="24"/>
          <w:szCs w:val="24"/>
        </w:rPr>
      </w:pPr>
    </w:p>
    <w:p w14:paraId="64E5D8B9" w14:textId="405A64DF" w:rsidR="00350130" w:rsidRPr="00350130" w:rsidRDefault="00350130" w:rsidP="00350130">
      <w:pPr>
        <w:autoSpaceDE w:val="0"/>
        <w:autoSpaceDN w:val="0"/>
        <w:adjustRightInd w:val="0"/>
        <w:spacing w:after="0" w:line="240" w:lineRule="auto"/>
        <w:rPr>
          <w:rFonts w:ascii="Times New Roman" w:hAnsi="Times New Roman"/>
          <w:sz w:val="24"/>
          <w:szCs w:val="24"/>
        </w:rPr>
      </w:pPr>
      <w:r w:rsidRPr="00350130">
        <w:rPr>
          <w:rFonts w:ascii="Times New Roman" w:hAnsi="Times New Roman"/>
          <w:sz w:val="24"/>
          <w:szCs w:val="24"/>
        </w:rPr>
        <w:tab/>
        <w:t>(3) A common definition of a “Catch-22</w:t>
      </w:r>
      <w:r w:rsidR="009B123E">
        <w:rPr>
          <w:rFonts w:ascii="Times New Roman" w:hAnsi="Times New Roman"/>
          <w:sz w:val="24"/>
          <w:szCs w:val="24"/>
        </w:rPr>
        <w:t>”</w:t>
      </w:r>
      <w:r w:rsidRPr="00350130">
        <w:rPr>
          <w:rFonts w:ascii="Times New Roman" w:hAnsi="Times New Roman"/>
          <w:sz w:val="24"/>
          <w:szCs w:val="24"/>
        </w:rPr>
        <w:t xml:space="preserve"> is “a paradoxical situation from which an individual cannot escape because of contradictory rules.” </w:t>
      </w:r>
      <w:r w:rsidRPr="00350130">
        <w:rPr>
          <w:rFonts w:ascii="Times New Roman" w:hAnsi="Times New Roman"/>
          <w:i/>
          <w:iCs/>
          <w:sz w:val="24"/>
          <w:szCs w:val="24"/>
        </w:rPr>
        <w:t>Wikipedia</w:t>
      </w:r>
      <w:r w:rsidRPr="00350130">
        <w:rPr>
          <w:rFonts w:ascii="Times New Roman" w:hAnsi="Times New Roman"/>
          <w:sz w:val="24"/>
          <w:szCs w:val="24"/>
        </w:rPr>
        <w:t xml:space="preserve"> (noting that the term was coined by Joseph Heller in his 1961 novel, </w:t>
      </w:r>
      <w:r w:rsidRPr="00350130">
        <w:rPr>
          <w:rFonts w:ascii="Times New Roman" w:hAnsi="Times New Roman"/>
          <w:i/>
          <w:iCs/>
          <w:sz w:val="24"/>
          <w:szCs w:val="24"/>
        </w:rPr>
        <w:t>Catch-22</w:t>
      </w:r>
      <w:r w:rsidRPr="00350130">
        <w:rPr>
          <w:rFonts w:ascii="Times New Roman" w:hAnsi="Times New Roman"/>
          <w:sz w:val="24"/>
          <w:szCs w:val="24"/>
        </w:rPr>
        <w:t xml:space="preserve">). In this case, petitioner argues that “the University must set forth more precisely the level of minority enrollment that would constitute a ‘critical mass,’” yet if the University did set forth a precise level of minority enrollment that would constitute a </w:t>
      </w:r>
      <w:r w:rsidR="009B123E">
        <w:rPr>
          <w:rFonts w:ascii="Times New Roman" w:hAnsi="Times New Roman"/>
          <w:sz w:val="24"/>
          <w:szCs w:val="24"/>
        </w:rPr>
        <w:t>“</w:t>
      </w:r>
      <w:r w:rsidRPr="00350130">
        <w:rPr>
          <w:rFonts w:ascii="Times New Roman" w:hAnsi="Times New Roman"/>
          <w:sz w:val="24"/>
          <w:szCs w:val="24"/>
        </w:rPr>
        <w:t>critical mass,</w:t>
      </w:r>
      <w:r w:rsidR="009B123E">
        <w:rPr>
          <w:rFonts w:ascii="Times New Roman" w:hAnsi="Times New Roman"/>
          <w:sz w:val="24"/>
          <w:szCs w:val="24"/>
        </w:rPr>
        <w:t>”</w:t>
      </w:r>
      <w:r w:rsidRPr="00350130">
        <w:rPr>
          <w:rFonts w:ascii="Times New Roman" w:hAnsi="Times New Roman"/>
          <w:sz w:val="24"/>
          <w:szCs w:val="24"/>
        </w:rPr>
        <w:t xml:space="preserve"> petitioner would argue that the University was engaging in “outright racial balancing,” which is “patently unconstitutional.” Does the majority opinion succeed in avoiding this “Catch-22" predicament?</w:t>
      </w:r>
    </w:p>
    <w:p w14:paraId="60B80B32" w14:textId="77777777" w:rsidR="00350130" w:rsidRPr="00350130" w:rsidRDefault="00350130" w:rsidP="00350130">
      <w:pPr>
        <w:autoSpaceDE w:val="0"/>
        <w:autoSpaceDN w:val="0"/>
        <w:adjustRightInd w:val="0"/>
        <w:spacing w:after="0" w:line="240" w:lineRule="auto"/>
        <w:rPr>
          <w:rFonts w:ascii="Times New Roman" w:hAnsi="Times New Roman"/>
          <w:sz w:val="24"/>
          <w:szCs w:val="24"/>
        </w:rPr>
      </w:pPr>
    </w:p>
    <w:p w14:paraId="0F925CC7" w14:textId="51A04DC3" w:rsidR="00350130" w:rsidRPr="00350130" w:rsidRDefault="00350130" w:rsidP="00350130">
      <w:pPr>
        <w:autoSpaceDE w:val="0"/>
        <w:autoSpaceDN w:val="0"/>
        <w:adjustRightInd w:val="0"/>
        <w:spacing w:after="0" w:line="240" w:lineRule="auto"/>
        <w:rPr>
          <w:rFonts w:ascii="Times New Roman" w:hAnsi="Times New Roman"/>
          <w:sz w:val="24"/>
          <w:szCs w:val="24"/>
        </w:rPr>
      </w:pPr>
      <w:r w:rsidRPr="00350130">
        <w:rPr>
          <w:rFonts w:ascii="Times New Roman" w:hAnsi="Times New Roman"/>
          <w:sz w:val="24"/>
          <w:szCs w:val="24"/>
        </w:rPr>
        <w:tab/>
        <w:t>(4) In concluding his dissent, Justice Alito contends that “</w:t>
      </w:r>
      <w:r w:rsidRPr="00350130">
        <w:rPr>
          <w:rFonts w:ascii="Times New Roman" w:hAnsi="Times New Roman"/>
          <w:i/>
          <w:iCs/>
          <w:sz w:val="24"/>
          <w:szCs w:val="24"/>
        </w:rPr>
        <w:t>What is not at stake</w:t>
      </w:r>
      <w:r w:rsidRPr="00350130">
        <w:rPr>
          <w:rFonts w:ascii="Times New Roman" w:hAnsi="Times New Roman"/>
          <w:sz w:val="24"/>
          <w:szCs w:val="24"/>
        </w:rPr>
        <w:t xml:space="preserve"> is whether UT or any other university may adopt an admissions plan that results in a student body with a broad representation of students from all racial and eth</w:t>
      </w:r>
      <w:r w:rsidR="00143787">
        <w:rPr>
          <w:rFonts w:ascii="Times New Roman" w:hAnsi="Times New Roman"/>
          <w:sz w:val="24"/>
          <w:szCs w:val="24"/>
        </w:rPr>
        <w:t>n</w:t>
      </w:r>
      <w:r w:rsidRPr="00350130">
        <w:rPr>
          <w:rFonts w:ascii="Times New Roman" w:hAnsi="Times New Roman"/>
          <w:sz w:val="24"/>
          <w:szCs w:val="24"/>
        </w:rPr>
        <w:t>ic groups.” He continues: “UT could have taken other steps that would have increased the diversity of its admitted students without taking race or ethnic background into account.” What types of admissions plans, on his view, would be permissible? He evidently would permit Top Ten Percent Plans like that which the Texas legislature adopted. But does a Top Ten Percent Plan really not take race or ethnic background into account? The majority opinion emphasizes “the fact that the Top Ten Percent Plan, though facially neutral, cannot be understood apart from its basic purpose, which is to boost minority enrollment.” Would acknowledgment of that fact and basic purpose lead the dissenters to condemn such plans?</w:t>
      </w:r>
    </w:p>
    <w:p w14:paraId="7CFDE913" w14:textId="77777777" w:rsidR="00350130" w:rsidRPr="00350130" w:rsidRDefault="00350130" w:rsidP="00350130">
      <w:pPr>
        <w:autoSpaceDE w:val="0"/>
        <w:autoSpaceDN w:val="0"/>
        <w:adjustRightInd w:val="0"/>
        <w:spacing w:after="0" w:line="240" w:lineRule="auto"/>
        <w:rPr>
          <w:rFonts w:ascii="Times New Roman" w:hAnsi="Times New Roman"/>
          <w:sz w:val="24"/>
          <w:szCs w:val="24"/>
        </w:rPr>
      </w:pPr>
    </w:p>
    <w:p w14:paraId="6E3AF083" w14:textId="3BFA2177" w:rsidR="00350130" w:rsidRPr="009D5C3A" w:rsidRDefault="00350130" w:rsidP="00350130">
      <w:pPr>
        <w:widowControl w:val="0"/>
        <w:autoSpaceDE w:val="0"/>
        <w:autoSpaceDN w:val="0"/>
        <w:adjustRightInd w:val="0"/>
        <w:spacing w:after="0" w:line="240" w:lineRule="auto"/>
        <w:jc w:val="both"/>
        <w:rPr>
          <w:rFonts w:ascii="Arial" w:hAnsi="Arial" w:cs="Arial"/>
          <w:sz w:val="24"/>
          <w:szCs w:val="24"/>
        </w:rPr>
      </w:pPr>
      <w:r w:rsidRPr="00350130">
        <w:rPr>
          <w:rFonts w:ascii="Times New Roman" w:hAnsi="Times New Roman"/>
          <w:sz w:val="24"/>
          <w:szCs w:val="24"/>
        </w:rPr>
        <w:tab/>
        <w:t>(5) Alito objects to UT’s focus on affirmative action for African-Americans and Hispanics and condemns the district court’s statement that “nothing in Grutter [v. Bollinger (2003; reprinted above, ____)] requires a university to give equal preference to every minority group.” Suppose that the University of Texas has an egregious history of identified discrimination against African-Americans and Hispanics, but not against other minority groups, and, on that basis (to quote Alito quoting the district court), “</w:t>
      </w:r>
      <w:proofErr w:type="spellStart"/>
      <w:r w:rsidRPr="00350130">
        <w:rPr>
          <w:rFonts w:ascii="Times New Roman" w:hAnsi="Times New Roman"/>
          <w:sz w:val="24"/>
          <w:szCs w:val="24"/>
        </w:rPr>
        <w:t>determin</w:t>
      </w:r>
      <w:proofErr w:type="spellEnd"/>
      <w:r w:rsidRPr="00350130">
        <w:rPr>
          <w:rFonts w:ascii="Times New Roman" w:hAnsi="Times New Roman"/>
          <w:sz w:val="24"/>
          <w:szCs w:val="24"/>
        </w:rPr>
        <w:t>[ed] which minority groups should benefit from the consideration of race.” Is Alito arguing that UT is obligated to ignore that history of identified discrimination? Previous affirmative action cases have credited remedying identified racial discrimination as a compelling governmental interest.</w:t>
      </w:r>
      <w:bookmarkStart w:id="42" w:name="_GoBack"/>
      <w:bookmarkEnd w:id="42"/>
    </w:p>
    <w:sectPr w:rsidR="00350130" w:rsidRPr="009D5C3A" w:rsidSect="00444180">
      <w:headerReference w:type="default" r:id="rId7"/>
      <w:footerReference w:type="default" r:id="rId8"/>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BA7D8" w14:textId="77777777" w:rsidR="00D60441" w:rsidRDefault="00D60441">
      <w:pPr>
        <w:spacing w:after="0" w:line="240" w:lineRule="auto"/>
      </w:pPr>
      <w:r>
        <w:separator/>
      </w:r>
    </w:p>
  </w:endnote>
  <w:endnote w:type="continuationSeparator" w:id="0">
    <w:p w14:paraId="39A53842" w14:textId="77777777" w:rsidR="00D60441" w:rsidRDefault="00D6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A0044" w14:textId="77777777" w:rsidR="008E1D66" w:rsidRDefault="008E1D66">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55323" w14:textId="77777777" w:rsidR="00D60441" w:rsidRDefault="00D60441">
      <w:pPr>
        <w:spacing w:after="0" w:line="240" w:lineRule="auto"/>
      </w:pPr>
      <w:r>
        <w:separator/>
      </w:r>
    </w:p>
  </w:footnote>
  <w:footnote w:type="continuationSeparator" w:id="0">
    <w:p w14:paraId="07826A36" w14:textId="77777777" w:rsidR="00D60441" w:rsidRDefault="00D60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FD718" w14:textId="77777777" w:rsidR="008E1D66" w:rsidRDefault="008E1D66">
    <w:pPr>
      <w:widowControl w:val="0"/>
      <w:autoSpaceDE w:val="0"/>
      <w:autoSpaceDN w:val="0"/>
      <w:adjustRightInd w:val="0"/>
      <w:spacing w:after="0" w:line="240" w:lineRule="auto"/>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57FF4"/>
    <w:multiLevelType w:val="hybridMultilevel"/>
    <w:tmpl w:val="84F4F8CA"/>
    <w:lvl w:ilvl="0" w:tplc="67801B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EF103E"/>
    <w:multiLevelType w:val="hybridMultilevel"/>
    <w:tmpl w:val="11C061EE"/>
    <w:lvl w:ilvl="0" w:tplc="7688D2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BE5"/>
    <w:rsid w:val="00010E8A"/>
    <w:rsid w:val="0002143E"/>
    <w:rsid w:val="00041343"/>
    <w:rsid w:val="00087CC7"/>
    <w:rsid w:val="000F325F"/>
    <w:rsid w:val="00141C0C"/>
    <w:rsid w:val="00143787"/>
    <w:rsid w:val="001700E9"/>
    <w:rsid w:val="00186B62"/>
    <w:rsid w:val="001E69D9"/>
    <w:rsid w:val="001F7E8E"/>
    <w:rsid w:val="00226A30"/>
    <w:rsid w:val="00283055"/>
    <w:rsid w:val="002841C8"/>
    <w:rsid w:val="0029626B"/>
    <w:rsid w:val="00306B21"/>
    <w:rsid w:val="00311B99"/>
    <w:rsid w:val="0034141E"/>
    <w:rsid w:val="00350130"/>
    <w:rsid w:val="00360080"/>
    <w:rsid w:val="0038296F"/>
    <w:rsid w:val="003C1447"/>
    <w:rsid w:val="003F0609"/>
    <w:rsid w:val="0043667A"/>
    <w:rsid w:val="00444180"/>
    <w:rsid w:val="00540211"/>
    <w:rsid w:val="00544226"/>
    <w:rsid w:val="00550281"/>
    <w:rsid w:val="00560ABE"/>
    <w:rsid w:val="005D5B4B"/>
    <w:rsid w:val="005D74A5"/>
    <w:rsid w:val="005F58E1"/>
    <w:rsid w:val="00650FDE"/>
    <w:rsid w:val="00657844"/>
    <w:rsid w:val="00671CBB"/>
    <w:rsid w:val="00672DE8"/>
    <w:rsid w:val="006F1D27"/>
    <w:rsid w:val="00745ECE"/>
    <w:rsid w:val="00765240"/>
    <w:rsid w:val="007947B4"/>
    <w:rsid w:val="007F0A29"/>
    <w:rsid w:val="007F7157"/>
    <w:rsid w:val="008642E3"/>
    <w:rsid w:val="008C4D8D"/>
    <w:rsid w:val="008E1D66"/>
    <w:rsid w:val="00931D72"/>
    <w:rsid w:val="009345A5"/>
    <w:rsid w:val="00954758"/>
    <w:rsid w:val="009641A4"/>
    <w:rsid w:val="00976352"/>
    <w:rsid w:val="009800FC"/>
    <w:rsid w:val="00996001"/>
    <w:rsid w:val="009B123E"/>
    <w:rsid w:val="009D5C3A"/>
    <w:rsid w:val="00A000F0"/>
    <w:rsid w:val="00A7187C"/>
    <w:rsid w:val="00A723A4"/>
    <w:rsid w:val="00A76BE5"/>
    <w:rsid w:val="00AD480D"/>
    <w:rsid w:val="00B16315"/>
    <w:rsid w:val="00B2054A"/>
    <w:rsid w:val="00B41905"/>
    <w:rsid w:val="00B64453"/>
    <w:rsid w:val="00B719CC"/>
    <w:rsid w:val="00B745A0"/>
    <w:rsid w:val="00BA2E7F"/>
    <w:rsid w:val="00BE49DE"/>
    <w:rsid w:val="00BF0679"/>
    <w:rsid w:val="00BF38FF"/>
    <w:rsid w:val="00C321A3"/>
    <w:rsid w:val="00C53960"/>
    <w:rsid w:val="00CF7CE1"/>
    <w:rsid w:val="00D12F34"/>
    <w:rsid w:val="00D431DA"/>
    <w:rsid w:val="00D52377"/>
    <w:rsid w:val="00D55AF1"/>
    <w:rsid w:val="00D60441"/>
    <w:rsid w:val="00DD0389"/>
    <w:rsid w:val="00DD7734"/>
    <w:rsid w:val="00DF7E9A"/>
    <w:rsid w:val="00E107F9"/>
    <w:rsid w:val="00E33107"/>
    <w:rsid w:val="00E718AF"/>
    <w:rsid w:val="00E9557B"/>
    <w:rsid w:val="00EB56DF"/>
    <w:rsid w:val="00EE4FA0"/>
    <w:rsid w:val="00F26703"/>
    <w:rsid w:val="00F670CE"/>
    <w:rsid w:val="00FA28B1"/>
    <w:rsid w:val="00FE0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183C3A"/>
  <w14:defaultImageDpi w14:val="0"/>
  <w15:docId w15:val="{FD0A2753-7414-184A-8589-46F2ED5E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1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D66"/>
    <w:rPr>
      <w:sz w:val="22"/>
      <w:szCs w:val="22"/>
    </w:rPr>
  </w:style>
  <w:style w:type="paragraph" w:styleId="Footer">
    <w:name w:val="footer"/>
    <w:basedOn w:val="Normal"/>
    <w:link w:val="FooterChar"/>
    <w:uiPriority w:val="99"/>
    <w:unhideWhenUsed/>
    <w:rsid w:val="008E1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D66"/>
    <w:rPr>
      <w:sz w:val="22"/>
      <w:szCs w:val="22"/>
    </w:rPr>
  </w:style>
  <w:style w:type="paragraph" w:styleId="BalloonText">
    <w:name w:val="Balloon Text"/>
    <w:basedOn w:val="Normal"/>
    <w:link w:val="BalloonTextChar"/>
    <w:uiPriority w:val="99"/>
    <w:semiHidden/>
    <w:unhideWhenUsed/>
    <w:rsid w:val="00931D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D72"/>
    <w:rPr>
      <w:rFonts w:ascii="Tahoma" w:hAnsi="Tahoma" w:cs="Tahoma"/>
      <w:sz w:val="16"/>
      <w:szCs w:val="16"/>
    </w:rPr>
  </w:style>
  <w:style w:type="character" w:styleId="CommentReference">
    <w:name w:val="annotation reference"/>
    <w:basedOn w:val="DefaultParagraphFont"/>
    <w:uiPriority w:val="99"/>
    <w:semiHidden/>
    <w:unhideWhenUsed/>
    <w:rsid w:val="00931D72"/>
    <w:rPr>
      <w:sz w:val="16"/>
      <w:szCs w:val="16"/>
    </w:rPr>
  </w:style>
  <w:style w:type="paragraph" w:styleId="CommentText">
    <w:name w:val="annotation text"/>
    <w:basedOn w:val="Normal"/>
    <w:link w:val="CommentTextChar"/>
    <w:uiPriority w:val="99"/>
    <w:semiHidden/>
    <w:unhideWhenUsed/>
    <w:rsid w:val="00931D72"/>
    <w:pPr>
      <w:spacing w:line="240" w:lineRule="auto"/>
    </w:pPr>
    <w:rPr>
      <w:sz w:val="20"/>
      <w:szCs w:val="20"/>
    </w:rPr>
  </w:style>
  <w:style w:type="character" w:customStyle="1" w:styleId="CommentTextChar">
    <w:name w:val="Comment Text Char"/>
    <w:basedOn w:val="DefaultParagraphFont"/>
    <w:link w:val="CommentText"/>
    <w:uiPriority w:val="99"/>
    <w:semiHidden/>
    <w:rsid w:val="00931D72"/>
  </w:style>
  <w:style w:type="paragraph" w:styleId="CommentSubject">
    <w:name w:val="annotation subject"/>
    <w:basedOn w:val="CommentText"/>
    <w:next w:val="CommentText"/>
    <w:link w:val="CommentSubjectChar"/>
    <w:uiPriority w:val="99"/>
    <w:semiHidden/>
    <w:unhideWhenUsed/>
    <w:rsid w:val="00931D72"/>
    <w:rPr>
      <w:b/>
      <w:bCs/>
    </w:rPr>
  </w:style>
  <w:style w:type="character" w:customStyle="1" w:styleId="CommentSubjectChar">
    <w:name w:val="Comment Subject Char"/>
    <w:basedOn w:val="CommentTextChar"/>
    <w:link w:val="CommentSubject"/>
    <w:uiPriority w:val="99"/>
    <w:semiHidden/>
    <w:rsid w:val="00931D72"/>
    <w:rPr>
      <w:b/>
      <w:bCs/>
    </w:rPr>
  </w:style>
  <w:style w:type="paragraph" w:styleId="ListParagraph">
    <w:name w:val="List Paragraph"/>
    <w:basedOn w:val="Normal"/>
    <w:uiPriority w:val="34"/>
    <w:qFormat/>
    <w:rsid w:val="00226A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11</Pages>
  <Words>5054</Words>
  <Characters>28814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Judicial User</Company>
  <LinksUpToDate>false</LinksUpToDate>
  <CharactersWithSpaces>33801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Kelly</dc:creator>
  <cp:lastModifiedBy>Fleming, James E</cp:lastModifiedBy>
  <cp:revision>21</cp:revision>
  <dcterms:created xsi:type="dcterms:W3CDTF">2018-07-28T05:59:00Z</dcterms:created>
  <dcterms:modified xsi:type="dcterms:W3CDTF">2019-01-24T17:25:00Z</dcterms:modified>
</cp:coreProperties>
</file>